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B00" w:rsidRPr="0013623A" w:rsidRDefault="004E0E56" w:rsidP="00B654B8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</w:rPr>
      </w:pPr>
      <w:proofErr w:type="gramStart"/>
      <w:r w:rsidRPr="0013623A">
        <w:rPr>
          <w:rFonts w:ascii="Times New Roman" w:hAnsi="Times New Roman"/>
          <w:b/>
          <w:u w:val="single"/>
        </w:rPr>
        <w:t xml:space="preserve">TEХНИЧЕСКИ  </w:t>
      </w:r>
      <w:r w:rsidR="004C1B00" w:rsidRPr="0013623A">
        <w:rPr>
          <w:rFonts w:ascii="Times New Roman" w:hAnsi="Times New Roman"/>
          <w:b/>
          <w:u w:val="single"/>
          <w:lang w:val="bg-BG"/>
        </w:rPr>
        <w:t>СПЕЦИФИКАЦИИ</w:t>
      </w:r>
      <w:proofErr w:type="gramEnd"/>
      <w:r w:rsidR="004C1B00" w:rsidRPr="0013623A">
        <w:rPr>
          <w:rFonts w:ascii="Times New Roman" w:hAnsi="Times New Roman"/>
          <w:b/>
          <w:u w:val="single"/>
          <w:lang w:val="bg-BG"/>
        </w:rPr>
        <w:t xml:space="preserve"> ПО</w:t>
      </w:r>
      <w:r w:rsidR="004C1B00" w:rsidRPr="005D02A8">
        <w:rPr>
          <w:rFonts w:ascii="Times New Roman" w:hAnsi="Times New Roman"/>
          <w:b/>
          <w:u w:val="single"/>
          <w:lang w:val="bg-BG"/>
        </w:rPr>
        <w:t xml:space="preserve"> ОБОСОБЕНА ПОЗИЦИЯ </w:t>
      </w:r>
      <w:r w:rsidR="004C1B00" w:rsidRPr="0013623A">
        <w:rPr>
          <w:rFonts w:ascii="Times New Roman" w:hAnsi="Times New Roman"/>
          <w:b/>
          <w:u w:val="single"/>
          <w:lang w:val="bg-BG"/>
        </w:rPr>
        <w:t xml:space="preserve">№ </w:t>
      </w:r>
      <w:r w:rsidR="005D02A8" w:rsidRPr="0013623A">
        <w:rPr>
          <w:rFonts w:ascii="Times New Roman" w:hAnsi="Times New Roman"/>
          <w:b/>
          <w:u w:val="single"/>
        </w:rPr>
        <w:t>2</w:t>
      </w:r>
    </w:p>
    <w:p w:rsidR="00B654B8" w:rsidRPr="00B654B8" w:rsidRDefault="00B654B8" w:rsidP="00B654B8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  <w:lang w:val="bg-BG"/>
        </w:rPr>
      </w:pPr>
      <w:r w:rsidRPr="00B654B8">
        <w:rPr>
          <w:rFonts w:ascii="Times New Roman" w:hAnsi="Times New Roman"/>
          <w:lang w:val="bg-BG"/>
        </w:rPr>
        <w:t>За изпълнение на дейността</w:t>
      </w:r>
      <w:r>
        <w:rPr>
          <w:rFonts w:ascii="Times New Roman" w:hAnsi="Times New Roman"/>
          <w:b/>
          <w:lang w:val="bg-BG"/>
        </w:rPr>
        <w:t xml:space="preserve"> </w:t>
      </w:r>
      <w:r w:rsidRPr="00B654B8">
        <w:rPr>
          <w:rFonts w:ascii="Times New Roman" w:hAnsi="Times New Roman"/>
          <w:b/>
          <w:sz w:val="24"/>
          <w:szCs w:val="24"/>
          <w:lang w:val="bg-BG"/>
        </w:rPr>
        <w:t>изготвяне на обследване за енергийна ефективност</w:t>
      </w:r>
      <w:r w:rsidRPr="00EF4852">
        <w:rPr>
          <w:rFonts w:ascii="Times New Roman" w:hAnsi="Times New Roman"/>
          <w:sz w:val="24"/>
          <w:szCs w:val="24"/>
          <w:lang w:val="bg-BG"/>
        </w:rPr>
        <w:t xml:space="preserve"> и предписване на необходимите ЕСМ в съответствие с нормативните и минимални изисквания за енергийна ефективност;</w:t>
      </w:r>
    </w:p>
    <w:p w:rsidR="00B654B8" w:rsidRPr="00B654B8" w:rsidRDefault="00B654B8" w:rsidP="00B654B8">
      <w:pPr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bg-BG"/>
        </w:rPr>
      </w:pP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Обследването за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енергийна ефективност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предписва необходимите енергоспестяващи мерки за постигане на съответствие с изискванията за енергийна ефективност съгласно р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 xml:space="preserve">азпоредбите на раздел II „Обследване за енергийна ефективност и сертифициране на сгради” от ЗЕЕ и при условията и по реда, определен от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Наредба 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 w:eastAsia="bg-BG"/>
        </w:rPr>
        <w:t>16-1594 от 2013 г. за обследване за енергийна ефективност, сертифициране и оценка на енергийните спестявания на сгради.</w:t>
      </w:r>
      <w:r w:rsidRPr="00B654B8">
        <w:rPr>
          <w:rFonts w:ascii="Times New Roman" w:eastAsia="Times New Roman" w:hAnsi="Times New Roman"/>
          <w:color w:val="000000"/>
          <w:sz w:val="24"/>
          <w:szCs w:val="24"/>
          <w:lang w:val="bg-BG"/>
        </w:rPr>
        <w:t xml:space="preserve">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технико-икономическа и екологична оценка. </w:t>
      </w:r>
    </w:p>
    <w:p w:rsidR="00B654B8" w:rsidRPr="00B654B8" w:rsidRDefault="00B654B8" w:rsidP="00B65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sz w:val="24"/>
          <w:szCs w:val="24"/>
          <w:lang w:val="bg-BG"/>
        </w:rPr>
        <w:t xml:space="preserve">ВАЖНО! </w:t>
      </w:r>
    </w:p>
    <w:p w:rsidR="00B654B8" w:rsidRPr="00B654B8" w:rsidRDefault="00B654B8" w:rsidP="00B654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autoSpaceDE w:val="0"/>
        <w:autoSpaceDN w:val="0"/>
        <w:adjustRightInd w:val="0"/>
        <w:snapToGrid w:val="0"/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B654B8">
        <w:rPr>
          <w:rFonts w:ascii="Times New Roman" w:hAnsi="Times New Roman"/>
          <w:b/>
          <w:sz w:val="24"/>
          <w:szCs w:val="24"/>
          <w:lang w:val="bg-BG"/>
        </w:rPr>
        <w:t>По Националната програма ще се финансира икономически най-ефективният пакет от енергоспестяващи мерки за сградата, с който се постига клас на енергопотребление „С“ в съответствие с Наредба № 7 от 2004 г. за енергийна ефективност, топлосъхранение и икономия на енергия в сгради.</w:t>
      </w:r>
    </w:p>
    <w:p w:rsidR="00B654B8" w:rsidRPr="0013623A" w:rsidRDefault="00B654B8" w:rsidP="00B654B8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>За изпълнение на задължителните мерки по обновяване на сградата, предписани в резултат на техническото и енергийното обследване, собствениците дават предварително съгласие чрез протокола от ОС на СС (приложение 9</w:t>
      </w:r>
      <w:r w:rsidR="005D02A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D02A8" w:rsidRPr="0013623A">
        <w:rPr>
          <w:rFonts w:ascii="Times New Roman" w:hAnsi="Times New Roman"/>
          <w:b/>
          <w:bCs/>
          <w:sz w:val="24"/>
          <w:szCs w:val="24"/>
        </w:rPr>
        <w:t>o</w:t>
      </w:r>
      <w:r w:rsidR="005D02A8" w:rsidRPr="0013623A">
        <w:rPr>
          <w:rFonts w:ascii="Times New Roman" w:hAnsi="Times New Roman"/>
          <w:b/>
          <w:bCs/>
          <w:sz w:val="24"/>
          <w:szCs w:val="24"/>
          <w:lang w:val="bg-BG"/>
        </w:rPr>
        <w:t>т Методическите указания на МРРБ</w:t>
      </w:r>
      <w:r w:rsidRPr="0013623A">
        <w:rPr>
          <w:rFonts w:ascii="Times New Roman" w:hAnsi="Times New Roman"/>
          <w:b/>
          <w:bCs/>
          <w:sz w:val="24"/>
          <w:szCs w:val="24"/>
          <w:lang w:val="bg-BG"/>
        </w:rPr>
        <w:t xml:space="preserve">) и декларации от собствениците – нечленуващи в сдружението.  </w:t>
      </w:r>
    </w:p>
    <w:p w:rsidR="00B654B8" w:rsidRPr="00B654B8" w:rsidRDefault="00B654B8" w:rsidP="00B654B8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В случаите, когато обследването за </w:t>
      </w:r>
      <w:r w:rsidR="005D02A8">
        <w:rPr>
          <w:rFonts w:ascii="Times New Roman" w:hAnsi="Times New Roman"/>
          <w:b/>
          <w:bCs/>
          <w:sz w:val="24"/>
          <w:szCs w:val="24"/>
          <w:lang w:val="bg-BG"/>
        </w:rPr>
        <w:t>енергийна ефективност предписва</w:t>
      </w: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 някоя от посочените дейности, се изисква съгласие </w:t>
      </w:r>
      <w:r w:rsidRPr="00B654B8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на всички собственици</w:t>
      </w:r>
      <w:r w:rsidRPr="00B654B8">
        <w:rPr>
          <w:rFonts w:ascii="Times New Roman" w:hAnsi="Times New Roman"/>
          <w:b/>
          <w:bCs/>
          <w:sz w:val="24"/>
          <w:szCs w:val="24"/>
          <w:lang w:val="bg-BG"/>
        </w:rPr>
        <w:t xml:space="preserve"> в сградата: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подмяна на локални източници на топлина/котелни стопанства или прилежащите им съоръжения, собственост на ССО, вкл. смяна на горивната база при доказан енергоспестяващ и екологичен ефект;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изграждане на системи за оползотворяване на енергията от възобновяеми източници за енергийните потребности на сградата;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ремонт или подмяна на амортизирани общи части на системите за отопление, охлаждане и вентилация на сградата за повишаване на енергийната ефективност;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реконструкция на вертикалната система за отопление в хоризонтална, като се осигурява индивидуално отчитане на разхода на топлина за всеки ССО в сградата;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ремонт или подмяна на електрическата инсталация в общите части на сградата;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газифициране на сградите (монтиране на газов котел и присъединяване към градска газоразпределителна мрежа, когато е налична в близост до сградата; </w:t>
      </w:r>
    </w:p>
    <w:p w:rsidR="00B654B8" w:rsidRPr="00B654B8" w:rsidRDefault="00B654B8" w:rsidP="00B654B8">
      <w:pPr>
        <w:numPr>
          <w:ilvl w:val="0"/>
          <w:numId w:val="10"/>
        </w:numPr>
        <w:suppressAutoHyphens/>
        <w:snapToGri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B654B8">
        <w:rPr>
          <w:rFonts w:ascii="Times New Roman" w:eastAsia="Times New Roman" w:hAnsi="Times New Roman"/>
          <w:sz w:val="24"/>
          <w:szCs w:val="24"/>
          <w:lang w:val="bg-BG" w:eastAsia="bg-BG"/>
        </w:rPr>
        <w:t>мерки за повишаване на енергийната ефективност на асансьорите.</w:t>
      </w:r>
    </w:p>
    <w:p w:rsidR="00823342" w:rsidRPr="00B654B8" w:rsidRDefault="00823342" w:rsidP="00B654B8">
      <w:pPr>
        <w:suppressAutoHyphens/>
        <w:snapToGrid w:val="0"/>
        <w:spacing w:after="120" w:line="240" w:lineRule="auto"/>
        <w:ind w:left="36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27464" w:rsidRPr="00427464" w:rsidRDefault="00427464" w:rsidP="00427464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bookmarkStart w:id="0" w:name="_Toc409109026"/>
      <w:r w:rsidRPr="00427464">
        <w:rPr>
          <w:rFonts w:ascii="Times New Roman" w:hAnsi="Times New Roman"/>
          <w:i/>
          <w:sz w:val="24"/>
          <w:szCs w:val="24"/>
          <w:lang w:val="bg-BG"/>
        </w:rPr>
        <w:t>Строително-технически норми и правила. Общи изисквания към строежите и изисквания към строителните продукти в областта на енергийната ефективност</w:t>
      </w:r>
      <w:bookmarkEnd w:id="0"/>
    </w:p>
    <w:p w:rsidR="00427464" w:rsidRPr="00427464" w:rsidRDefault="00427464" w:rsidP="00427464">
      <w:pPr>
        <w:numPr>
          <w:ilvl w:val="0"/>
          <w:numId w:val="9"/>
        </w:num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1" w:name="_Toc409108750"/>
      <w:bookmarkStart w:id="2" w:name="_Toc409109027"/>
      <w:r w:rsidRPr="00427464">
        <w:rPr>
          <w:rFonts w:ascii="Times New Roman" w:hAnsi="Times New Roman"/>
          <w:b/>
          <w:bCs/>
          <w:sz w:val="24"/>
          <w:szCs w:val="24"/>
          <w:lang w:val="bg-BG"/>
        </w:rPr>
        <w:t>Строително-технически норми и правила. Общи изисквания към строежите</w:t>
      </w:r>
      <w:bookmarkEnd w:id="1"/>
      <w:bookmarkEnd w:id="2"/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lastRenderedPageBreak/>
        <w:t>Националното законодателство в областта на енергийната ефективност в сградния сектор включва: ЗЕЕ, ЗУТ, ЗЕ, ЗЕВИ, ЗТИП, Закона за националната стандартизация и др. Законовите и подзаконовите нормативни актове постоянно се хармонизират с правото на Европейския съюз Директива 2010/31/ЕС, Директива 2009/28/ЕО за насърчаване използването на енергия от възобновяеми източници, Директива 2006/32/ЕО за ефективността при крайното потребление на енергия и осъществяване на енергийни услуги, отменена от нова Директива 2012/27/ЕС за енергийната ефективност, Регламент (ЕС) № 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89/106/ЕИО, Директивите от „Нов подход” и стандартите от приложното им поле, както и технически норми, методи и принципи на добрите европейски практики.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>Основните подзаконови нормативни актове,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ефективност, са както следва: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ЗУТ: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7 от 2004 г. за енергийна ефективност, топлосъхранение и икономия на енергия в сгради;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5 от 2006 г. за техническите паспорти на строежите.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2 от 2008 г. за проектиране, изпълнение, контрол и приемане на хидроизолации и хидроизолационни системи на сгради и съоръжения.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ЗЕЕ: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16-1594 от 2013 г. за обследване за енергийна ефективност, сертифициране и оценка на енергийните спестявания на сгради;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РД-16-1058 от 2009 г. за показателите за разход на енергия и енергийните характеристики на сградите;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РД-16-932 от 2009 г. за условията и реда за извършване на проверка за енергийна ефективност на водогрейните котли и на климатичните инсталации по    чл. 27, ал. 1 и чл. 28, ал. 1 от Закона за енергийната ефективност и за създаване, поддържане и ползване на базата данни за тях.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ЗЕ:</w:t>
      </w:r>
    </w:p>
    <w:p w:rsidR="00427464" w:rsidRPr="00427464" w:rsidRDefault="00427464" w:rsidP="0042746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15 от 2005 г. за технически правила и нормативи за проектиране, изграждане и експлоатация на обектите и съоръженията за производство, пренос и разпределение на топлинна енергия, както и методиките за нейното прилагане.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ЗТИП:</w:t>
      </w:r>
    </w:p>
    <w:p w:rsidR="00427464" w:rsidRPr="00427464" w:rsidRDefault="00427464" w:rsidP="0042746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Наредба за съществените изисквания към строежите и оценяване съответствието на строителните продукти, приета с Постановление № 325 на Министерския съвет от 2006 г. </w:t>
      </w:r>
    </w:p>
    <w:p w:rsidR="00427464" w:rsidRPr="004E0E56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E0E56">
        <w:rPr>
          <w:rFonts w:ascii="Times New Roman" w:hAnsi="Times New Roman"/>
          <w:sz w:val="24"/>
          <w:szCs w:val="24"/>
          <w:lang w:val="bg-BG"/>
        </w:rPr>
        <w:t xml:space="preserve">При проектирането на строежите (сгради и строителни съоръжения) трябва да се предвиждат, а при изпълнението им да се влагат, строителни продукти, които осигуряват изпълнението на основните изисквания към строежите, определени в приложение I на Регламент (ЕС) № 305/2011 на Европейския парламент и на Съвета от 9 март 2011 г. за определяне на хармонизирани условия за предлагането на пазара на </w:t>
      </w:r>
      <w:r w:rsidRPr="004E0E56">
        <w:rPr>
          <w:rFonts w:ascii="Times New Roman" w:hAnsi="Times New Roman"/>
          <w:sz w:val="24"/>
          <w:szCs w:val="24"/>
          <w:lang w:val="bg-BG"/>
        </w:rPr>
        <w:lastRenderedPageBreak/>
        <w:t>строителни продукти и за отмяна на Директива 89/106/ЕИО и с чл. 169 от ЗУТ, както следва: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носимоспособност - механично съпротивление и устойчивост на строителните конструкции и на земната основа при натоварвания по време на строителството и при експлоатационни и сеизмични натоварвания;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безопасност в случай на пожар;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хигиена, здраве и околна среда;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достъпност и безопасност при експлоатация;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защита от шум;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енергийна ефективност - икономия на енергия и топлосъхранение;</w:t>
      </w:r>
    </w:p>
    <w:p w:rsidR="00691AFC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устойчиво използване на природните ресурси.</w:t>
      </w:r>
    </w:p>
    <w:p w:rsidR="00427464" w:rsidRPr="004E0E56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E0E56">
        <w:rPr>
          <w:rFonts w:ascii="Times New Roman" w:hAnsi="Times New Roman"/>
          <w:sz w:val="24"/>
          <w:szCs w:val="24"/>
          <w:lang w:val="bg-BG"/>
        </w:rPr>
        <w:t xml:space="preserve">Наредбите за енергийните характеристики на сградите и за енергийна ефективност, топлосъхранение и икономия на енергия в сгради се прилагат </w:t>
      </w:r>
      <w:r w:rsidRPr="004E0E56">
        <w:rPr>
          <w:rFonts w:ascii="Times New Roman" w:hAnsi="Times New Roman"/>
          <w:i/>
          <w:sz w:val="24"/>
          <w:szCs w:val="24"/>
          <w:lang w:val="bg-BG"/>
        </w:rPr>
        <w:t xml:space="preserve">съгласувано </w:t>
      </w:r>
      <w:r w:rsidRPr="004E0E56">
        <w:rPr>
          <w:rFonts w:ascii="Times New Roman" w:hAnsi="Times New Roman"/>
          <w:sz w:val="24"/>
          <w:szCs w:val="24"/>
          <w:lang w:val="bg-BG"/>
        </w:rPr>
        <w:t>и са нормативната база за планиране, проектиране, обследване и сертифициране на сградите.</w:t>
      </w:r>
    </w:p>
    <w:p w:rsidR="00427464" w:rsidRPr="004E0E56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right="140"/>
        <w:jc w:val="both"/>
        <w:outlineLvl w:val="0"/>
        <w:rPr>
          <w:rFonts w:ascii="Times New Roman" w:eastAsia="Times New Roman" w:hAnsi="Times New Roman"/>
          <w:strike/>
          <w:sz w:val="24"/>
          <w:szCs w:val="24"/>
          <w:lang w:val="bg-BG" w:eastAsia="bg-BG"/>
        </w:rPr>
      </w:pPr>
      <w:bookmarkStart w:id="3" w:name="_Toc409108751"/>
      <w:bookmarkStart w:id="4" w:name="_Toc409109028"/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Минималните изисквания при планиране, проектиране, изпълнение и поддържане на сградите по отношение на енергийните им характеристики са следните:</w:t>
      </w:r>
      <w:bookmarkEnd w:id="3"/>
      <w:bookmarkEnd w:id="4"/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не представляват заплаха за хигиената или здравето на обитателите или на съседите и за опазването на околната среда, параметрите на микроклимата да осигуряват нормите за топлинна среда (комфорт), осветеност, качество на въздуха, влага и шум;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отоплителните, климатичните и вентилационните инсталации да са проектирани и изпълнени по такъв начин, че необходимото при експлоатацията количество енергия да е минимално;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защитени със съответстваща на тяхното предназначение, местоположение и климатични условия топлинна и шумоизолация, както и от неприемливи въздействия от вибрации;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енергоефективни, като разходват възможно най-малко енергия по време на тяхното изграждане, експлоатация и разрушаване;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да са съобразени с възможностите за оползотворяване на слънчевата енергия и на енергията от други възобновяеми източници, когато е технически осъществимо и икономически целесъобразно.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Техническият показател, който се нормира в числова стойност за съответните нива на енергийна ефективност от скалата на класовете на енергопотребление е интегрираният показател „</w:t>
      </w:r>
      <w:r w:rsidRPr="004E0E56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специфичен годишен разход</w:t>
      </w: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на </w:t>
      </w:r>
      <w:r w:rsidRPr="004E0E56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първична</w:t>
      </w: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енергия в kWh/m</w:t>
      </w:r>
      <w:r w:rsidRPr="00427464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2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“. За различните предназначения на сградите този показател има различни нормативни числови стойности за съответните нива на енергопотребление по скалата от А</w:t>
      </w:r>
      <w:r w:rsidRPr="00427464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+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до G.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При изчисляването на специфичния годишен разход на първична енергия се включват най-малко: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1) ориентацията, размерите и формата на сградата;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2) характеристиките на сградните ограждащи конструкции, елементите и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вътрешните пространства, в т.ч.: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а) топлинни, включително на вътрешните конструктивни елементи: топлинен капацитет, изолация, пасивно отопление, охлаждащи компоненти и топлинни мостове;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б) въздухопропускливост;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3) влагоустойчивостта и водонепропускливостта;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4) системите за отопление и гореща вода за битови нужди, включително изолационните характеристики;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5) климатичните инсталации;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6) системите за вентилация;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7) естественото осветление и осветителните инсталации;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8) пасивните слънчеви системи и слънчевата защита;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9) естествената вентилация;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10) системите за оползотворяване на възобновяеми енергийни източници;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11) външните климатични условия, в т.ч. разположението и изложението на сградата и вътрешните климатични условия;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12) вътрешните енергийни товари.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427464">
        <w:rPr>
          <w:rFonts w:ascii="Times New Roman" w:hAnsi="Times New Roman"/>
          <w:color w:val="000000"/>
          <w:sz w:val="24"/>
          <w:szCs w:val="24"/>
          <w:shd w:val="clear" w:color="auto" w:fill="FEFEFE"/>
          <w:lang w:val="bg-BG"/>
        </w:rPr>
        <w:t>Посочените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елементи участват задължително в енергийния баланс на сградата, определяйки я като интегрирана система, която разходва енергия при съответни климатични условия. </w:t>
      </w:r>
    </w:p>
    <w:p w:rsid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Съответствието с изискванията за енергийна ефективност за целите на </w:t>
      </w:r>
      <w:r w:rsidRPr="00427464">
        <w:rPr>
          <w:rFonts w:ascii="Times New Roman" w:eastAsia="Times New Roman" w:hAnsi="Times New Roman"/>
          <w:b/>
          <w:sz w:val="24"/>
          <w:szCs w:val="24"/>
          <w:shd w:val="clear" w:color="auto" w:fill="FEFEFE"/>
          <w:lang w:val="bg-BG"/>
        </w:rPr>
        <w:t>Националната програма за енергийна ефективност на многофамилни жилищни сгради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за които първото им въвеждане в експлоатация е до 01.02. 2010 г., включително се приема за изпълнено, когато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интегрираният показател – специфичен годишен разход на първична енергия в kWh/m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vertAlign w:val="superscript"/>
          <w:lang w:val="bg-BG"/>
        </w:rPr>
        <w:t>2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годишно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съответства най-малко на клас на енергопотребление „С”. </w:t>
      </w:r>
    </w:p>
    <w:p w:rsidR="00E42465" w:rsidRPr="00E42465" w:rsidRDefault="00E42465" w:rsidP="00E4246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Скалата с числови стойности на енергопотребление за 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жилищни сгради е както следва:</w:t>
      </w:r>
    </w:p>
    <w:p w:rsidR="00E42465" w:rsidRPr="00EF4852" w:rsidRDefault="00E42465" w:rsidP="00E42465">
      <w:pPr>
        <w:pStyle w:val="Default"/>
        <w:spacing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EF4852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 wp14:anchorId="53692419" wp14:editId="039AA429">
            <wp:simplePos x="0" y="0"/>
            <wp:positionH relativeFrom="column">
              <wp:posOffset>1124585</wp:posOffset>
            </wp:positionH>
            <wp:positionV relativeFrom="paragraph">
              <wp:posOffset>-45720</wp:posOffset>
            </wp:positionV>
            <wp:extent cx="2591435" cy="2719705"/>
            <wp:effectExtent l="0" t="0" r="0" b="444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435" cy="271970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</w:p>
    <w:p w:rsidR="00E42465" w:rsidRPr="00EF4852" w:rsidRDefault="00E42465" w:rsidP="00E42465">
      <w:pPr>
        <w:pStyle w:val="Default"/>
        <w:spacing w:after="120"/>
        <w:ind w:firstLine="709"/>
        <w:jc w:val="both"/>
        <w:rPr>
          <w:rFonts w:ascii="Times New Roman" w:hAnsi="Times New Roman" w:cs="Times New Roman"/>
          <w:color w:val="auto"/>
        </w:rPr>
      </w:pPr>
      <w:r w:rsidRPr="00EF4852">
        <w:rPr>
          <w:rFonts w:ascii="Times New Roman" w:hAnsi="Times New Roman" w:cs="Times New Roman"/>
          <w:color w:val="auto"/>
        </w:rPr>
        <w:tab/>
      </w: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EF4852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:rsidR="00E42465" w:rsidRPr="008A3335" w:rsidRDefault="00E42465" w:rsidP="00E42465">
      <w:pPr>
        <w:pStyle w:val="Default"/>
        <w:spacing w:after="120"/>
        <w:jc w:val="both"/>
        <w:rPr>
          <w:rFonts w:ascii="Times New Roman" w:hAnsi="Times New Roman" w:cs="Times New Roman"/>
        </w:rPr>
      </w:pPr>
      <w:r w:rsidRPr="008A3335">
        <w:rPr>
          <w:rFonts w:ascii="Times New Roman" w:hAnsi="Times New Roman" w:cs="Times New Roman"/>
        </w:rPr>
        <w:lastRenderedPageBreak/>
        <w:t xml:space="preserve">Техническите норми за минимални изисквания към енергийните характеристики на сградите и сградните компоненти са разработени въз основа на </w:t>
      </w:r>
      <w:r w:rsidRPr="008A3335">
        <w:rPr>
          <w:rFonts w:ascii="Times New Roman" w:hAnsi="Times New Roman" w:cs="Times New Roman"/>
          <w:i/>
        </w:rPr>
        <w:t>ефективността на разходите</w:t>
      </w:r>
      <w:r w:rsidRPr="008A3335">
        <w:rPr>
          <w:rFonts w:ascii="Times New Roman" w:hAnsi="Times New Roman" w:cs="Times New Roman"/>
        </w:rPr>
        <w:t xml:space="preserve"> съгласно изискванията на делегирания Регламент (ЕС) № 244/2012 на Комисията от 16 януари 2012 </w:t>
      </w:r>
      <w:r>
        <w:rPr>
          <w:rFonts w:ascii="Times New Roman" w:hAnsi="Times New Roman" w:cs="Times New Roman"/>
        </w:rPr>
        <w:t>г</w:t>
      </w:r>
      <w:r w:rsidRPr="008A3335">
        <w:rPr>
          <w:rFonts w:ascii="Times New Roman" w:hAnsi="Times New Roman" w:cs="Times New Roman"/>
        </w:rPr>
        <w:t>. Постигането на нивата на енергопотребление по скалата е свързано с прецизна оценка на инвестициите за подобряване на енергийната ефективност, които не трябва да надхвърлят приходите от осъщественото енергоспестяване и едновременно с това да гарантират целесъобразен срок на възвръщаемост на вложените средства. Такава оценка – за целесъобразността на инвестициите за енергоспестяване</w:t>
      </w:r>
      <w:r>
        <w:rPr>
          <w:rFonts w:ascii="Times New Roman" w:hAnsi="Times New Roman" w:cs="Times New Roman"/>
        </w:rPr>
        <w:t>,</w:t>
      </w:r>
      <w:r w:rsidRPr="008A3335">
        <w:rPr>
          <w:rFonts w:ascii="Times New Roman" w:hAnsi="Times New Roman" w:cs="Times New Roman"/>
        </w:rPr>
        <w:t xml:space="preserve"> включва оценка на пакети от енергоспестяващи мерки в различни комбинации и определяне на икономически най-изгодния пакет за достигане на минималното изискване – клас „</w:t>
      </w:r>
      <w:r w:rsidRPr="008A3335">
        <w:rPr>
          <w:rFonts w:ascii="Times New Roman" w:hAnsi="Times New Roman" w:cs="Times New Roman"/>
          <w:b/>
        </w:rPr>
        <w:t>С</w:t>
      </w:r>
      <w:r w:rsidRPr="008A3335">
        <w:rPr>
          <w:rFonts w:ascii="Times New Roman" w:hAnsi="Times New Roman" w:cs="Times New Roman"/>
        </w:rPr>
        <w:t xml:space="preserve">“ на енергопотребление в съществуваща жилищна сграда. Концепцията за ефективност на разходите е заложена по категоричен начин и в легалната дефиниция на понятието </w:t>
      </w:r>
      <w:r>
        <w:rPr>
          <w:rFonts w:ascii="Times New Roman" w:hAnsi="Times New Roman" w:cs="Times New Roman"/>
        </w:rPr>
        <w:t>„</w:t>
      </w:r>
      <w:r w:rsidRPr="008A3335">
        <w:rPr>
          <w:rFonts w:ascii="Times New Roman" w:hAnsi="Times New Roman" w:cs="Times New Roman"/>
        </w:rPr>
        <w:t>Енергийна ефективност в сгради</w:t>
      </w:r>
      <w:r>
        <w:rPr>
          <w:rFonts w:ascii="Times New Roman" w:hAnsi="Times New Roman" w:cs="Times New Roman"/>
        </w:rPr>
        <w:t>”</w:t>
      </w:r>
      <w:r w:rsidRPr="008A3335">
        <w:rPr>
          <w:rFonts w:ascii="Times New Roman" w:hAnsi="Times New Roman" w:cs="Times New Roman"/>
        </w:rPr>
        <w:t xml:space="preserve"> – това е осигуряването и поддържането на нормативните параметри на микроклимата в сградите, </w:t>
      </w:r>
      <w:r>
        <w:rPr>
          <w:rFonts w:ascii="Times New Roman" w:hAnsi="Times New Roman" w:cs="Times New Roman"/>
        </w:rPr>
        <w:t xml:space="preserve">тяхното </w:t>
      </w:r>
      <w:r w:rsidRPr="008A3335">
        <w:rPr>
          <w:rFonts w:ascii="Times New Roman" w:hAnsi="Times New Roman" w:cs="Times New Roman"/>
        </w:rPr>
        <w:t>топлосъхранени</w:t>
      </w:r>
      <w:r>
        <w:rPr>
          <w:rFonts w:ascii="Times New Roman" w:hAnsi="Times New Roman" w:cs="Times New Roman"/>
        </w:rPr>
        <w:t>е</w:t>
      </w:r>
      <w:r w:rsidRPr="008A3335">
        <w:rPr>
          <w:rFonts w:ascii="Times New Roman" w:hAnsi="Times New Roman" w:cs="Times New Roman"/>
        </w:rPr>
        <w:t xml:space="preserve"> и икономията на енергийни ресурси за нуждите на сградите, с минимални финансови разходи (§</w:t>
      </w:r>
      <w:r>
        <w:rPr>
          <w:rFonts w:ascii="Times New Roman" w:hAnsi="Times New Roman" w:cs="Times New Roman"/>
        </w:rPr>
        <w:t xml:space="preserve"> </w:t>
      </w:r>
      <w:r w:rsidRPr="008A3335">
        <w:rPr>
          <w:rFonts w:ascii="Times New Roman" w:hAnsi="Times New Roman" w:cs="Times New Roman"/>
        </w:rPr>
        <w:t>1, т.</w:t>
      </w:r>
      <w:r>
        <w:rPr>
          <w:rFonts w:ascii="Times New Roman" w:hAnsi="Times New Roman" w:cs="Times New Roman"/>
        </w:rPr>
        <w:t xml:space="preserve"> </w:t>
      </w:r>
      <w:r w:rsidRPr="008A3335">
        <w:rPr>
          <w:rFonts w:ascii="Times New Roman" w:hAnsi="Times New Roman" w:cs="Times New Roman"/>
        </w:rPr>
        <w:t>1а</w:t>
      </w:r>
      <w:r>
        <w:rPr>
          <w:rFonts w:ascii="Times New Roman" w:hAnsi="Times New Roman" w:cs="Times New Roman"/>
        </w:rPr>
        <w:t xml:space="preserve"> от допълнителните разпоредби</w:t>
      </w:r>
      <w:r w:rsidRPr="008A3335">
        <w:rPr>
          <w:rFonts w:ascii="Times New Roman" w:hAnsi="Times New Roman" w:cs="Times New Roman"/>
        </w:rPr>
        <w:t xml:space="preserve"> на ЗЕЕ).</w:t>
      </w:r>
    </w:p>
    <w:p w:rsidR="00E42465" w:rsidRPr="008A3335" w:rsidRDefault="00E42465" w:rsidP="00E42465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>Анализът на възможностите за използване на енергия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та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от възобновяеми източници за потребностите на сградата от енергия е част от тази оценка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т.е. част от обследването за енергийна ефективност. Енергийното обследване трябва да докаже ефект на енергоспестяване при включване на възобновяем източник на енергия в енергийния баланс на сградата. В случай че ефектът е количествено доказан с инженерните изчисления, а инвестицията за ВЕИ - икономически обоснована, мярката за генериране на енергия от възобновяем източник се комбинира с други мерки</w:t>
      </w:r>
      <w:r>
        <w:rPr>
          <w:rFonts w:ascii="Times New Roman" w:hAnsi="Times New Roman"/>
          <w:color w:val="000000"/>
          <w:sz w:val="24"/>
          <w:szCs w:val="24"/>
          <w:lang w:val="bg-BG" w:eastAsia="bg-BG"/>
        </w:rPr>
        <w:t>,</w:t>
      </w:r>
      <w:r w:rsidRPr="008A3335">
        <w:rPr>
          <w:rFonts w:ascii="Times New Roman" w:hAnsi="Times New Roman"/>
          <w:color w:val="000000"/>
          <w:sz w:val="24"/>
          <w:szCs w:val="24"/>
          <w:lang w:val="bg-BG" w:eastAsia="bg-BG"/>
        </w:rPr>
        <w:t xml:space="preserve"> като се оценява кой е икономически най-изгодният пакет, с който може да се достигне нормативното изискване за годишен разход на енергия.</w:t>
      </w:r>
    </w:p>
    <w:p w:rsidR="00E42465" w:rsidRPr="00EF4852" w:rsidRDefault="00E42465" w:rsidP="00E42465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При реконструкция, основно обновяване, основен ремонт или преустройство на съществуващи сгради, в т.ч. жилищни, въз основа на анализа, се въвеждат в експлоатация инсталации за производство на енергия от възобновяеми източници,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когато това е технически възможно и икономически целесъобразно.</w:t>
      </w:r>
    </w:p>
    <w:p w:rsidR="00E42465" w:rsidRPr="00EF4852" w:rsidRDefault="00E42465" w:rsidP="00E42465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Техническите възможности включват:</w:t>
      </w:r>
    </w:p>
    <w:p w:rsidR="00E42465" w:rsidRPr="00EF4852" w:rsidRDefault="00E42465" w:rsidP="00E42465">
      <w:pPr>
        <w:spacing w:after="12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1) централизирано отопление, използващо биомаса или геотермална енергия;</w:t>
      </w:r>
    </w:p>
    <w:p w:rsidR="00E42465" w:rsidRPr="00EF4852" w:rsidRDefault="00E42465" w:rsidP="00E42465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2) индивидуални съоръжения за изгаряне на биомаса с ефективност на преобразуването най-малко 85 на сто при жилищни и търговски сгради и 70 на сто при промишлени сгради;</w:t>
      </w:r>
    </w:p>
    <w:p w:rsidR="00E42465" w:rsidRPr="00EF4852" w:rsidRDefault="00E42465" w:rsidP="00E42465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3) слънчеви топлинни инсталации;</w:t>
      </w:r>
    </w:p>
    <w:p w:rsidR="00E42465" w:rsidRPr="00EF4852" w:rsidRDefault="00E42465" w:rsidP="00E42465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>4) термопомпи и повърхностни геотермални системи и др. приложими технологии.</w:t>
      </w:r>
    </w:p>
    <w:p w:rsidR="00E42465" w:rsidRPr="00EF4852" w:rsidRDefault="00E42465" w:rsidP="00E42465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Изискванията и последователността на стъпките при определяне на необходимите параметри и показатели по отношение на енергийната ефективност се прилагат при проектирането на нови, както и при реконструкции и обновяване на съществуващи сгради. Специфичното при съществуващите сгради е, че процесът стартира с възлагане на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обследване за енергийна ефективност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по реда на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Наредба № 16-1594 от 2013 г. за обследване за енергийна ефективност, сертифициране и оценка на енергийните спестявания на сгради</w:t>
      </w: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, издадена на основание ЗЕЕ. </w:t>
      </w:r>
    </w:p>
    <w:p w:rsidR="00E42465" w:rsidRPr="00384976" w:rsidRDefault="00E42465" w:rsidP="00E42465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Обследването за енергийна ефективност е процес, основан на систематичен метод за определяне и остойностяване на енергийните потоци и разходи в сградите, определящ обхвата на технико-икономическите параметри на мерките за повишаване на енергийната ефективност</w:t>
      </w:r>
      <w:r w:rsidRPr="004C1B00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. Извършва се от консултанти (юридически лица), с право да </w:t>
      </w:r>
      <w:r w:rsidRPr="0038497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извършват такава дейност и вписани по реда на ЗЕЕ в публични регистри в АУЕР. </w:t>
      </w:r>
    </w:p>
    <w:p w:rsidR="00E42465" w:rsidRPr="00EF4852" w:rsidRDefault="00384976" w:rsidP="00E42465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384976">
        <w:rPr>
          <w:rFonts w:ascii="Times New Roman" w:eastAsia="Times New Roman" w:hAnsi="Times New Roman"/>
          <w:sz w:val="24"/>
          <w:szCs w:val="24"/>
          <w:lang w:val="bg-BG" w:eastAsia="bg-BG"/>
        </w:rPr>
        <w:t>З</w:t>
      </w:r>
      <w:r w:rsidR="00E42465" w:rsidRPr="00384976">
        <w:rPr>
          <w:rFonts w:ascii="Times New Roman" w:eastAsia="Times New Roman" w:hAnsi="Times New Roman"/>
          <w:sz w:val="24"/>
          <w:szCs w:val="24"/>
          <w:lang w:val="bg-BG" w:eastAsia="bg-BG"/>
        </w:rPr>
        <w:t>а да се гарантира осъществяването на правилна нормативна връзка между ЗЕЕ и ЗУТ, съответно правилна взаимовръзка между действията на отделните участници в процеса по обновяване на сградите, в техническите спецификации за провеждане и възлагане на обществени поръчки за проектиране и строителство следва да бъдат заложени именно техническите параметри от енергийното обследване, с които е изчислен енергоспестяващият и екологичен ефект от прилагане на всяка мярка от предложения като разходно най-ефективен пакет.</w:t>
      </w:r>
    </w:p>
    <w:p w:rsidR="00E42465" w:rsidRPr="00EC21D8" w:rsidRDefault="00E42465" w:rsidP="00EC21D8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519D1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„Програми за повишаване на енергийната ефективност“ са дейности и мерки, насочени към групите крайни потребители на енергия, които водят до проверимо, измеримо или оценимо повишаване на енергийната ефективност. Означава, че параметрите за енергоспестяване, заложени в обследването за енергийна ефективност, по същество са и „индикатори за отчитане на постигнатите резултати” от програмата, които подлежат на последваща проверка и мониторинг. </w:t>
      </w:r>
    </w:p>
    <w:p w:rsidR="00EC21D8" w:rsidRPr="00F069ED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Специфични технически изисквания към топлофизичните характеристики на строителните продукти за постигане на енергоспестяващия ефект в сградите.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За намаляване на разхода на енергия и подобряване на енергийните характеристики на съответната сграда по националната програма, следва да се предвиждат топлоизолационни продукти, чиито технически характеристики съответстват на нормативните изисквания за енергийна ефективност в сградите. Връзката между изискването за икономия на енергия и съответните продуктови области, повлияни от това изискване е направена в табл. 1:</w:t>
      </w:r>
    </w:p>
    <w:tbl>
      <w:tblPr>
        <w:tblpPr w:leftFromText="141" w:rightFromText="141" w:vertAnchor="text" w:horzAnchor="margin" w:tblpY="268"/>
        <w:tblW w:w="5000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45"/>
        <w:gridCol w:w="3075"/>
        <w:gridCol w:w="4941"/>
      </w:tblGrid>
      <w:tr w:rsidR="00EC21D8" w:rsidRPr="00EF4852" w:rsidTr="00EC21D8">
        <w:trPr>
          <w:trHeight w:val="547"/>
          <w:tblCellSpacing w:w="28" w:type="dxa"/>
        </w:trPr>
        <w:tc>
          <w:tcPr>
            <w:tcW w:w="579" w:type="pct"/>
            <w:gridSpan w:val="2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1</w:t>
            </w:r>
          </w:p>
        </w:tc>
        <w:tc>
          <w:tcPr>
            <w:tcW w:w="4335" w:type="pct"/>
            <w:gridSpan w:val="2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ind w:left="57" w:right="28"/>
              <w:jc w:val="both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Съответствие на продуктовите области с показателите за разход на енергия, регламентирани в националното законодателство по енергийна ефективност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943" w:type="pct"/>
            <w:gridSpan w:val="4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А. Продуктови области, които са обхванати от Регламент (ЕС) № 305/2011 г.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Код на област*</w:t>
            </w:r>
          </w:p>
        </w:tc>
        <w:tc>
          <w:tcPr>
            <w:tcW w:w="1833" w:type="pct"/>
            <w:gridSpan w:val="2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2634" w:type="pct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Връзка с показатели за разход на енергия от наредбата за енергийните характеристики на сградите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Дървесни плочи (панели) и елементи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17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прозорците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K);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покрива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инфилтрация на външен въздух (kW)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25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лепила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топлопреминаване през външните стени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K)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топлинни загуби от топлопреминаване към околната среда (kW)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Устройства за отопление  (отоплителни тела от всякакъв тип като елементи от система)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преноса на топлина от източника до отоплявания и/ или охлаждания обем на сградата (%);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- коефициент на полезно действие на генератора на топлина и/ или студ (%);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Строителни комплекти, компоненти, предварително изготвени елементи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m2);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943" w:type="pct"/>
            <w:gridSpan w:val="4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/>
                <w:sz w:val="20"/>
                <w:szCs w:val="20"/>
                <w:lang w:val="bg-BG"/>
              </w:rPr>
              <w:t>Б.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 </w:t>
            </w:r>
            <w:r w:rsidRPr="008A3335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>Продуктови области, които не са обхванати от Регламент (ЕС) № 305/2011 – продукти, потребяващи енергия, за които в делегирани регламенти на Е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>вропейската комисия</w:t>
            </w:r>
            <w:r w:rsidRPr="008A3335">
              <w:rPr>
                <w:rFonts w:ascii="Times New Roman" w:hAnsi="Times New Roman"/>
                <w:b/>
                <w:color w:val="000000"/>
                <w:sz w:val="20"/>
                <w:szCs w:val="20"/>
                <w:lang w:val="bg-BG"/>
              </w:rPr>
              <w:t xml:space="preserve"> са определени изисквания във връзка с изпълнението на Директива 2010/30/ЕС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Лампи за осветление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общи специфични топлинни загуби/ притоци (W/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3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Автономни климатизатори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коефициент на трансформация на генератора на топлина и/ или студ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охлаждане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3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Водогрейни котли за отопление и БГВ (вкл. изгарящи пелети и дърва)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(kW);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Слънчеви колектори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гореща вода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5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Абонатни станции (комплекти)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отопление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топлинна мощност на системата за БГВ (kW)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общ годишен специфичен разход на енергия за отопление, охлаждане, вентилация, гореща вода,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6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Водоохлаждащи агрегати и въздухоохладители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7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Термопомпи (комплекти)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 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419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9</w:t>
            </w:r>
          </w:p>
        </w:tc>
        <w:tc>
          <w:tcPr>
            <w:tcW w:w="1833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Рекуператори на топлина</w:t>
            </w:r>
          </w:p>
        </w:tc>
        <w:tc>
          <w:tcPr>
            <w:tcW w:w="2634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общ годишен специфичен разход на енергия за отопление, охлаждане, вентилация, гореща вода, осветление и уреди (kWh/m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2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)</w:t>
            </w:r>
          </w:p>
        </w:tc>
      </w:tr>
    </w:tbl>
    <w:p w:rsidR="00EC21D8" w:rsidRPr="00EF4852" w:rsidRDefault="00EC21D8" w:rsidP="00EC21D8">
      <w:pPr>
        <w:spacing w:after="12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C21D8" w:rsidRPr="00F069ED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  <w:bCs/>
        </w:rPr>
      </w:pPr>
      <w:r w:rsidRPr="00F069ED">
        <w:rPr>
          <w:b/>
          <w:bCs/>
        </w:rPr>
        <w:t xml:space="preserve">Продуктови области, обхванати от Регламент </w:t>
      </w:r>
      <w:r w:rsidRPr="00F069ED">
        <w:rPr>
          <w:rFonts w:eastAsiaTheme="minorHAnsi"/>
          <w:b/>
        </w:rPr>
        <w:t>(ЕС) № 305/2011 г.</w:t>
      </w:r>
    </w:p>
    <w:tbl>
      <w:tblPr>
        <w:tblpPr w:leftFromText="141" w:rightFromText="141" w:vertAnchor="text" w:horzAnchor="margin" w:tblpY="268"/>
        <w:tblW w:w="5236" w:type="pct"/>
        <w:tblCellSpacing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717"/>
        <w:gridCol w:w="1124"/>
        <w:gridCol w:w="1714"/>
        <w:gridCol w:w="5411"/>
      </w:tblGrid>
      <w:tr w:rsidR="00EC21D8" w:rsidRPr="00EF4852" w:rsidTr="00EC21D8">
        <w:trPr>
          <w:trHeight w:val="547"/>
          <w:tblCellSpacing w:w="28" w:type="dxa"/>
        </w:trPr>
        <w:tc>
          <w:tcPr>
            <w:tcW w:w="763" w:type="pct"/>
            <w:gridSpan w:val="2"/>
            <w:shd w:val="clear" w:color="auto" w:fill="92D050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>Таблица 2</w:t>
            </w:r>
          </w:p>
        </w:tc>
        <w:tc>
          <w:tcPr>
            <w:tcW w:w="4153" w:type="pct"/>
            <w:gridSpan w:val="3"/>
            <w:shd w:val="clear" w:color="auto" w:fill="92D050"/>
          </w:tcPr>
          <w:p w:rsidR="00EC21D8" w:rsidRPr="00EF4852" w:rsidRDefault="00EC21D8" w:rsidP="00EC21D8">
            <w:pPr>
              <w:spacing w:after="120" w:line="240" w:lineRule="auto"/>
              <w:ind w:left="57" w:right="28"/>
              <w:jc w:val="center"/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Arial" w:hAnsi="Times New Roman"/>
                <w:b/>
                <w:sz w:val="20"/>
                <w:szCs w:val="20"/>
                <w:lang w:val="bg-BG" w:eastAsia="bg-BG"/>
              </w:rPr>
              <w:t>Технически спецификации в конкретната продуктова област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N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val="bg-BG"/>
              </w:rPr>
              <w:t>o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Продуктова област</w:t>
            </w:r>
          </w:p>
        </w:tc>
        <w:tc>
          <w:tcPr>
            <w:tcW w:w="670" w:type="pct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Стандарти в конкретната тематична област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1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Врати, прозорци, капаци, врати за промишлени и търговски сгради и за гаражи и свързаният с тях обков</w:t>
            </w:r>
          </w:p>
        </w:tc>
        <w:tc>
          <w:tcPr>
            <w:tcW w:w="670" w:type="pct"/>
          </w:tcPr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5" w:name="_Toc409108753"/>
            <w:bookmarkStart w:id="6" w:name="_Toc409109030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Сглобяеми</w:t>
            </w:r>
            <w:bookmarkEnd w:id="5"/>
            <w:bookmarkEnd w:id="6"/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7" w:name="_Toc409108754"/>
            <w:bookmarkStart w:id="8" w:name="_Toc409109031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готови за</w:t>
            </w:r>
            <w:bookmarkEnd w:id="7"/>
            <w:bookmarkEnd w:id="8"/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9" w:name="_Toc409108755"/>
            <w:bookmarkStart w:id="10" w:name="_Toc409109032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монтаж</w:t>
            </w:r>
            <w:bookmarkEnd w:id="9"/>
            <w:bookmarkEnd w:id="10"/>
          </w:p>
          <w:p w:rsidR="00EC21D8" w:rsidRPr="00EF4852" w:rsidRDefault="00EC21D8" w:rsidP="00EC21D8">
            <w:pPr>
              <w:keepNext/>
              <w:tabs>
                <w:tab w:val="left" w:pos="2988"/>
              </w:tabs>
              <w:spacing w:after="120" w:line="240" w:lineRule="auto"/>
              <w:ind w:right="-8"/>
              <w:jc w:val="center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1" w:name="_Toc409108756"/>
            <w:bookmarkStart w:id="12" w:name="_Toc409109033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елементи</w:t>
            </w:r>
            <w:bookmarkEnd w:id="11"/>
            <w:bookmarkEnd w:id="12"/>
          </w:p>
        </w:tc>
        <w:tc>
          <w:tcPr>
            <w:tcW w:w="2811" w:type="pct"/>
            <w:shd w:val="clear" w:color="auto" w:fill="auto"/>
            <w:vAlign w:val="center"/>
          </w:tcPr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3" w:name="_Toc409108757"/>
            <w:bookmarkStart w:id="14" w:name="_Toc409109034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13241-1:2003+A1 - Врати за промишлени и търговски сгради и за гаражи</w:t>
            </w:r>
            <w:bookmarkEnd w:id="13"/>
            <w:bookmarkEnd w:id="14"/>
          </w:p>
          <w:p w:rsidR="00EC21D8" w:rsidRPr="00EF4852" w:rsidRDefault="00EC21D8" w:rsidP="00EC21D8">
            <w:pPr>
              <w:spacing w:after="120" w:line="240" w:lineRule="auto"/>
              <w:ind w:left="-2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стандарт за продукт 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5" w:name="_Toc409108758"/>
            <w:bookmarkStart w:id="16" w:name="_Toc409109035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БДС EN 14351-1/NА - Врати и прозорци</w:t>
            </w:r>
            <w:bookmarkEnd w:id="15"/>
            <w:bookmarkEnd w:id="16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стандарт за продукт, технически характеристики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1: Прозорци и външни врати без характеристики за устойчивост на огън и/или пропускане на дим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bookmarkStart w:id="17" w:name="_Toc409108759"/>
            <w:bookmarkStart w:id="18" w:name="_Toc409109036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ISO 18292 - 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Енергийни характеристики на остъклени системи за жилищни сгради</w:t>
            </w:r>
            <w:bookmarkEnd w:id="17"/>
            <w:bookmarkEnd w:id="18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 xml:space="preserve"> 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2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Продукти за топлоизолация. Комбинирани изолационни комплекти/системи</w:t>
            </w:r>
          </w:p>
        </w:tc>
        <w:tc>
          <w:tcPr>
            <w:tcW w:w="670" w:type="pct"/>
          </w:tcPr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Полистирени</w:t>
            </w: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Вати</w:t>
            </w: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Дървесни </w:t>
            </w: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Влакна</w:t>
            </w: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Минерални</w:t>
            </w:r>
          </w:p>
          <w:p w:rsidR="00EC21D8" w:rsidRPr="00EF4852" w:rsidRDefault="00EC21D8" w:rsidP="00EC21D8">
            <w:pPr>
              <w:spacing w:after="120" w:line="240" w:lineRule="auto"/>
              <w:ind w:right="33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топлоизолационни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плочи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ind w:right="33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БДС EN 13163 - Топлоизолационни продукти за сгради продукти от експандиран полистирен (EPS), произведени в заводски условия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 xml:space="preserve">БДС EN 13164 -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 w:eastAsia="bg-BG"/>
              </w:rPr>
              <w:t xml:space="preserve">Топлоизолационни продукти за сгради </w:t>
            </w:r>
            <w:r w:rsidRPr="00EF4852">
              <w:rPr>
                <w:rFonts w:ascii="Times New Roman" w:eastAsiaTheme="minorHAnsi" w:hAnsi="Times New Roman"/>
                <w:noProof/>
                <w:sz w:val="20"/>
                <w:szCs w:val="20"/>
                <w:lang w:val="bg-BG"/>
              </w:rPr>
              <w:t xml:space="preserve">продукти от екструдиран полистирен (XPS), произведени в </w:t>
            </w: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заводски условия</w:t>
            </w:r>
          </w:p>
          <w:p w:rsidR="00EC21D8" w:rsidRPr="00EF4852" w:rsidRDefault="00EC21D8" w:rsidP="00EC21D8">
            <w:pPr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БДС EN  13166 - Топлоизолационни продукти за сгради продукти от твърд пенофенопласт (PF), произведени в заводски условия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19" w:name="_Toc409108760"/>
            <w:bookmarkStart w:id="20" w:name="_Toc409109037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13167 - Топлоизолационни продукти за сгради продукти от пеностъкло (cg), произведени в заводски условия</w:t>
            </w:r>
            <w:bookmarkEnd w:id="19"/>
            <w:bookmarkEnd w:id="20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1" w:name="_Toc409108761"/>
            <w:bookmarkStart w:id="22" w:name="_Toc409109038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13168 – Топлоизолационни продукти на сгради Продукти от дървесна вата (WW) произведени в заводски условия</w:t>
            </w:r>
            <w:bookmarkEnd w:id="21"/>
            <w:bookmarkEnd w:id="22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3" w:name="_Toc409108762"/>
            <w:bookmarkStart w:id="24" w:name="_Toc409109039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13169 -Топлоизолационни продукти за сгради продукти от експандиран перлит (EPB), произведени в заводски условия</w:t>
            </w:r>
            <w:bookmarkEnd w:id="23"/>
            <w:bookmarkEnd w:id="24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25" w:name="_Toc409108763"/>
            <w:bookmarkStart w:id="26" w:name="_Toc409109040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EN 13170 - Топлоизолационни продукти за сгради продукти от експандиран корк (ICB), произведени в заводски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условия</w:t>
            </w:r>
            <w:bookmarkEnd w:id="25"/>
            <w:bookmarkEnd w:id="26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bookmarkStart w:id="27" w:name="_Toc409108764"/>
            <w:bookmarkStart w:id="28" w:name="_Toc409109041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13171 - Топлоизолационни продукти за сгради продукти от дървесни влакна (WF), произведени в заводски условия</w:t>
            </w:r>
            <w:bookmarkEnd w:id="27"/>
            <w:bookmarkEnd w:id="28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</w:pPr>
            <w:bookmarkStart w:id="29" w:name="_Toc409108765"/>
            <w:bookmarkStart w:id="30" w:name="_Toc409109042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</w:t>
            </w:r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EN 13162 - Топлоизолационни продукти за сгради. продукти от минерална вата (MW), произведени в заводски условия.</w:t>
            </w:r>
            <w:bookmarkEnd w:id="29"/>
            <w:bookmarkEnd w:id="30"/>
            <w:r w:rsidRPr="00EF4852">
              <w:rPr>
                <w:rFonts w:ascii="Times New Roman" w:eastAsia="Times New Roman" w:hAnsi="Times New Roman"/>
                <w:b/>
                <w:sz w:val="20"/>
                <w:szCs w:val="20"/>
                <w:lang w:val="bg-BG" w:eastAsia="bg-BG"/>
              </w:rPr>
              <w:t xml:space="preserve"> 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31" w:name="_Toc409108766"/>
            <w:bookmarkStart w:id="32" w:name="_Toc409109043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13788 -Хигротермални характеристики на строителни компоненти и строителни елементи. Температура на вътрешната повърхност за предотвратяване на критична влажност на повърхността и конденз в пукнатини. Изчислителни методи (ISO/DIS 13788-2011)</w:t>
            </w:r>
            <w:bookmarkEnd w:id="31"/>
            <w:bookmarkEnd w:id="32"/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bookmarkStart w:id="33" w:name="_Toc409108767"/>
            <w:bookmarkStart w:id="34" w:name="_Toc409109044"/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БДС EN ISO 14683 – Топлинни мостове в строителните конструкции. Коефициент на линейно топлопреминаване. Опростени методи и и ориентировъчни изчислителни стойности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ЕТО 05-093</w:t>
            </w:r>
            <w:r w:rsidRPr="00EF4852">
              <w:rPr>
                <w:lang w:val="bg-BG"/>
              </w:rPr>
              <w:t xml:space="preserve">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Минерални топлоизолационни плочи</w:t>
            </w:r>
            <w:bookmarkEnd w:id="33"/>
            <w:bookmarkEnd w:id="34"/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lastRenderedPageBreak/>
              <w:t>3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Зидария и свързани с нея продукти. блокове за зидария, строителни разтвори, стенни връзки</w:t>
            </w:r>
          </w:p>
        </w:tc>
        <w:tc>
          <w:tcPr>
            <w:tcW w:w="670" w:type="pct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Тухли</w:t>
            </w: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Камък</w:t>
            </w:r>
          </w:p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/>
              </w:rPr>
              <w:t>Газобетон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771-1 +А1 – Изисквания за блокове за зидария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771-1/NА - Изисквания за блокове за зидария Част 1: Глинени блокове за зидария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Национално приложение (NА)</w:t>
            </w:r>
          </w:p>
          <w:p w:rsidR="00EC21D8" w:rsidRPr="00EF4852" w:rsidRDefault="00EC21D8" w:rsidP="00EC21D8">
            <w:pPr>
              <w:keepNext/>
              <w:spacing w:after="120" w:line="240" w:lineRule="auto"/>
              <w:ind w:right="33"/>
              <w:jc w:val="both"/>
              <w:outlineLvl w:val="3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bookmarkStart w:id="35" w:name="_Toc409108768"/>
            <w:bookmarkStart w:id="36" w:name="_Toc409109045"/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БДС EN 771-2 - Изисквания за блокове за зидария Част 2: Калциево-силикатни блокове за зидария</w:t>
            </w:r>
            <w:bookmarkEnd w:id="35"/>
            <w:bookmarkEnd w:id="36"/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771-2/NА - Изисквания за блокове за зидария Част 2: Калциево-силикатни блокове за зидария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771-4 +А1 - Изисквания за блокове за зидария Част 4: Блокове за зидария от автоклавен газобетон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771-4/NА - Изисквания за блокове за зидария Част 4: Блокове за зидария от автоклавен газобетон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771-5/NА - Изисквания за блокове за зидария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5: Блокове за зидария от изкуствен камък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БДС EN 771-6/NА - Изисквания за блокове за зидария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Част 6: Блокове за зидария от естествен камък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1745 – Зидария и продукти за зидария Методи за определяне на изчислителни топлинни стойности</w:t>
            </w:r>
          </w:p>
        </w:tc>
      </w:tr>
      <w:tr w:rsidR="00EC21D8" w:rsidRPr="00EF4852" w:rsidTr="00EC21D8">
        <w:trPr>
          <w:trHeight w:val="105"/>
          <w:tblCellSpacing w:w="28" w:type="dxa"/>
        </w:trPr>
        <w:tc>
          <w:tcPr>
            <w:tcW w:w="362" w:type="pct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4</w:t>
            </w:r>
          </w:p>
        </w:tc>
        <w:tc>
          <w:tcPr>
            <w:tcW w:w="1017" w:type="pct"/>
            <w:gridSpan w:val="2"/>
            <w:shd w:val="clear" w:color="auto" w:fill="auto"/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  <w:t>Покривни покрития, горно осветление, покривни прозорци и спомагателни продукти, покривни комплекти</w:t>
            </w:r>
          </w:p>
        </w:tc>
        <w:tc>
          <w:tcPr>
            <w:tcW w:w="670" w:type="pct"/>
          </w:tcPr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Стъкло и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Рамки от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 xml:space="preserve">PVC или 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Алуминий</w:t>
            </w:r>
          </w:p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или дърво</w:t>
            </w:r>
          </w:p>
        </w:tc>
        <w:tc>
          <w:tcPr>
            <w:tcW w:w="2811" w:type="pct"/>
            <w:shd w:val="clear" w:color="auto" w:fill="auto"/>
            <w:vAlign w:val="center"/>
          </w:tcPr>
          <w:p w:rsidR="00EC21D8" w:rsidRPr="00EF4852" w:rsidRDefault="00EC21D8" w:rsidP="00EC21D8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  <w:r w:rsidRPr="00EF4852">
              <w:rPr>
                <w:rFonts w:ascii="Times New Roman" w:eastAsiaTheme="minorHAnsi" w:hAnsi="Times New Roman"/>
                <w:bCs/>
                <w:sz w:val="20"/>
                <w:szCs w:val="20"/>
                <w:lang w:val="bg-BG"/>
              </w:rPr>
              <w:t>БДС EN 1304/NA - Глинени покривни керемиди и приспособления</w:t>
            </w:r>
          </w:p>
          <w:p w:rsidR="00EC21D8" w:rsidRPr="00EF4852" w:rsidRDefault="00EC21D8" w:rsidP="00EC21D8">
            <w:pPr>
              <w:spacing w:after="120" w:line="240" w:lineRule="auto"/>
              <w:rPr>
                <w:rFonts w:ascii="Times New Roman" w:eastAsiaTheme="minorHAnsi" w:hAnsi="Times New Roman"/>
                <w:sz w:val="20"/>
                <w:szCs w:val="20"/>
                <w:lang w:val="bg-BG"/>
              </w:rPr>
            </w:pPr>
          </w:p>
        </w:tc>
      </w:tr>
    </w:tbl>
    <w:tbl>
      <w:tblPr>
        <w:tblW w:w="98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5020"/>
        <w:gridCol w:w="4290"/>
      </w:tblGrid>
      <w:tr w:rsidR="00EC21D8" w:rsidRPr="00EF4852" w:rsidTr="00EC21D8">
        <w:trPr>
          <w:trHeight w:val="30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C21D8" w:rsidRPr="00EF4852" w:rsidRDefault="00EC21D8" w:rsidP="00EC21D8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EC21D8" w:rsidRPr="00EF4852" w:rsidRDefault="00EC21D8" w:rsidP="00EC21D8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dstrike/>
                <w:sz w:val="24"/>
                <w:szCs w:val="24"/>
                <w:lang w:val="bg-BG" w:eastAsia="bg-BG"/>
              </w:rPr>
            </w:pPr>
          </w:p>
        </w:tc>
      </w:tr>
      <w:tr w:rsidR="00EC21D8" w:rsidRPr="00EF4852" w:rsidTr="00EC21D8">
        <w:trPr>
          <w:trHeight w:val="930"/>
          <w:jc w:val="center"/>
        </w:trPr>
        <w:tc>
          <w:tcPr>
            <w:tcW w:w="989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bg-BG"/>
              </w:rPr>
              <w:t xml:space="preserve">Референтни стойности на коефициента на топлопреминаване за целите на Националната програма през сградните ограждащи конструкции и елементи на сгради, които се използват за </w:t>
            </w:r>
            <w:r w:rsidRPr="00EF4852">
              <w:rPr>
                <w:rFonts w:ascii="Times New Roman" w:eastAsia="Times New Roman" w:hAnsi="Times New Roman"/>
                <w:sz w:val="24"/>
                <w:szCs w:val="24"/>
                <w:shd w:val="clear" w:color="auto" w:fill="FEFEFE"/>
                <w:lang w:val="bg-BG"/>
              </w:rPr>
              <w:lastRenderedPageBreak/>
              <w:t xml:space="preserve">сравнение </w:t>
            </w:r>
            <w:r w:rsidRPr="00EF4852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при изчисляване на годишния разход на енергия в жилищните сгради</w:t>
            </w:r>
          </w:p>
        </w:tc>
      </w:tr>
      <w:tr w:rsidR="00EC21D8" w:rsidRPr="00EF4852" w:rsidTr="00EC21D8">
        <w:trPr>
          <w:trHeight w:val="390"/>
          <w:jc w:val="center"/>
        </w:trPr>
        <w:tc>
          <w:tcPr>
            <w:tcW w:w="58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lastRenderedPageBreak/>
              <w:t>№ по ред</w:t>
            </w:r>
          </w:p>
        </w:tc>
        <w:tc>
          <w:tcPr>
            <w:tcW w:w="502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Видове ограждащи конструкции и елементи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U, W/m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EF4852">
              <w:rPr>
                <w:rFonts w:ascii="Times New Roman" w:eastAsia="Times New Roman" w:hAnsi="Times New Roman"/>
                <w:bCs/>
                <w:sz w:val="20"/>
                <w:szCs w:val="20"/>
                <w:lang w:val="bg-BG" w:eastAsia="bg-BG"/>
              </w:rPr>
              <w:t>K</w:t>
            </w:r>
          </w:p>
        </w:tc>
      </w:tr>
      <w:tr w:rsidR="00EC21D8" w:rsidRPr="00EF4852" w:rsidTr="00EC21D8">
        <w:trPr>
          <w:trHeight w:val="1605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за сгради със среднообемна вътрешна температура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>θ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i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≥ 15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</w:tr>
      <w:tr w:rsidR="00EC21D8" w:rsidRPr="00EF4852" w:rsidTr="00EC21D8">
        <w:trPr>
          <w:trHeight w:val="360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стени, граничещи с външен въздух 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0,28</w:t>
            </w:r>
          </w:p>
        </w:tc>
      </w:tr>
      <w:tr w:rsidR="00EC21D8" w:rsidRPr="00EF4852" w:rsidTr="00EC21D8">
        <w:trPr>
          <w:trHeight w:val="157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Стени на отопляемо пространство, граничещи с неотопляемо пространство, когато разликата между среднообемната температура на отопляемото и неотопляемото пространство е равна или по-голяма от 5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0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EC21D8" w:rsidRPr="00EF4852" w:rsidTr="00EC21D8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Външни стени на отопляем подземен етаж, граничещи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0,60</w:t>
            </w:r>
          </w:p>
        </w:tc>
      </w:tr>
      <w:tr w:rsidR="00EC21D8" w:rsidRPr="00EF4852" w:rsidTr="00EC21D8">
        <w:trPr>
          <w:trHeight w:val="30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Подова плоча над неотопляем подземен етаж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0,50</w:t>
            </w:r>
          </w:p>
        </w:tc>
      </w:tr>
      <w:tr w:rsidR="00EC21D8" w:rsidRPr="00EF4852" w:rsidTr="00EC21D8">
        <w:trPr>
          <w:trHeight w:val="61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директно граничещ със земята в сграда без подземен етаж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EC21D8" w:rsidRPr="00EF4852" w:rsidTr="00EC21D8">
        <w:trPr>
          <w:trHeight w:val="58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6.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 подземен етаж, граничещ със земята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0,45</w:t>
            </w:r>
          </w:p>
        </w:tc>
      </w:tr>
      <w:tr w:rsidR="00EC21D8" w:rsidRPr="00EF4852" w:rsidTr="00EC21D8">
        <w:trPr>
          <w:trHeight w:val="87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Под на отопляемо пространство, граничещо с външен въздух, под над проходи или над други открити пространства, еркери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EC21D8" w:rsidRPr="00EF4852" w:rsidTr="00EC21D8">
        <w:trPr>
          <w:trHeight w:val="94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Стена, таван или под, граничещи с външен въздух или със земята, при вградено площно отопление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0,40</w:t>
            </w:r>
          </w:p>
        </w:tc>
      </w:tr>
      <w:tr w:rsidR="00EC21D8" w:rsidRPr="00EF4852" w:rsidTr="00EC21D8">
        <w:trPr>
          <w:trHeight w:val="14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9.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Плосък покрив без въздушен слой или с въздушен слой с дебелина δ ≤ 0,30 m; таван на наклонен или скатен покрив с отоплявано подпокривно пространство, предназначено за обитаване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0,25</w:t>
            </w:r>
          </w:p>
        </w:tc>
      </w:tr>
      <w:tr w:rsidR="00EC21D8" w:rsidRPr="00EF4852" w:rsidTr="00EC21D8">
        <w:trPr>
          <w:trHeight w:val="1965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10.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Таванска плоча на неотопляем плосък покрив с въздушен слой с  дебелина 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δ &gt; 0,30 m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br/>
              <w:t xml:space="preserve">Таванска плоча на неотопляем, вентилиран или невентилиран наклонен/скатен покрив със или без вертикални ограждащи елементи в подпокривното пространство 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0,30</w:t>
            </w:r>
          </w:p>
        </w:tc>
      </w:tr>
      <w:tr w:rsidR="00EC21D8" w:rsidRPr="00EF4852" w:rsidTr="00EC21D8">
        <w:trPr>
          <w:trHeight w:val="555"/>
          <w:jc w:val="center"/>
        </w:trPr>
        <w:tc>
          <w:tcPr>
            <w:tcW w:w="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11.</w:t>
            </w:r>
          </w:p>
        </w:tc>
        <w:tc>
          <w:tcPr>
            <w:tcW w:w="5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Външна врата, плътна, граничеща с външен въздух</w:t>
            </w:r>
          </w:p>
        </w:tc>
        <w:tc>
          <w:tcPr>
            <w:tcW w:w="42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2,2</w:t>
            </w:r>
          </w:p>
        </w:tc>
      </w:tr>
      <w:tr w:rsidR="00EC21D8" w:rsidRPr="00EF4852" w:rsidTr="00EC21D8">
        <w:trPr>
          <w:trHeight w:val="540"/>
          <w:jc w:val="center"/>
        </w:trPr>
        <w:tc>
          <w:tcPr>
            <w:tcW w:w="5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12.</w:t>
            </w:r>
          </w:p>
        </w:tc>
        <w:tc>
          <w:tcPr>
            <w:tcW w:w="50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Врата, плътна, граничеща с неотопляемо пространство</w:t>
            </w:r>
          </w:p>
        </w:tc>
        <w:tc>
          <w:tcPr>
            <w:tcW w:w="42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3,5</w:t>
            </w:r>
          </w:p>
        </w:tc>
      </w:tr>
    </w:tbl>
    <w:p w:rsidR="00EC21D8" w:rsidRPr="00EF4852" w:rsidRDefault="00EC21D8" w:rsidP="00EC21D8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tbl>
      <w:tblPr>
        <w:tblW w:w="96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6280"/>
        <w:gridCol w:w="2891"/>
      </w:tblGrid>
      <w:tr w:rsidR="00EC21D8" w:rsidRPr="00EF4852" w:rsidTr="00EC21D8">
        <w:trPr>
          <w:trHeight w:val="315"/>
          <w:jc w:val="center"/>
        </w:trPr>
        <w:tc>
          <w:tcPr>
            <w:tcW w:w="966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noWrap/>
            <w:vAlign w:val="bottom"/>
          </w:tcPr>
          <w:p w:rsidR="00EC21D8" w:rsidRPr="00EF4852" w:rsidRDefault="00EC21D8" w:rsidP="00EC21D8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EC21D8" w:rsidRPr="00EF4852" w:rsidTr="00EC21D8">
        <w:trPr>
          <w:trHeight w:val="960"/>
          <w:jc w:val="center"/>
        </w:trPr>
        <w:tc>
          <w:tcPr>
            <w:tcW w:w="96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Референтни стойности на коефициента на топлопреминаване за целите на Националната програма през прозрачни ограждащи конструкции (прозорци и врати) за  жилищни и нежилищни сгради, които се използват за сравнение при изчисляване на годишния разход на енергия в сградите</w:t>
            </w:r>
          </w:p>
        </w:tc>
      </w:tr>
      <w:tr w:rsidR="00EC21D8" w:rsidRPr="00EF4852" w:rsidTr="00EC21D8">
        <w:trPr>
          <w:trHeight w:val="1245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№ по ред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сглобения елемент - завършена прозоречна система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U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w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, W/m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2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K</w:t>
            </w:r>
          </w:p>
        </w:tc>
      </w:tr>
      <w:tr w:rsidR="00EC21D8" w:rsidRPr="00EF4852" w:rsidTr="00EC21D8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екструдиран поливинилхлорид (PVC) с три и повече кухи камери; покривни прозорци за всеки тип отваряемост с рамка от PVC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1,4</w:t>
            </w:r>
          </w:p>
        </w:tc>
      </w:tr>
      <w:tr w:rsidR="00EC21D8" w:rsidRPr="00EF4852" w:rsidTr="00EC21D8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577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564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дърво/покривни прозорци за всеки тип отваряемост с рамка от дърво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1,6/1,8</w:t>
            </w:r>
          </w:p>
        </w:tc>
      </w:tr>
      <w:tr w:rsidR="00EC21D8" w:rsidRPr="00EF4852" w:rsidTr="00EC21D8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570"/>
          <w:jc w:val="center"/>
        </w:trPr>
        <w:tc>
          <w:tcPr>
            <w:tcW w:w="48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3.</w:t>
            </w:r>
          </w:p>
        </w:tc>
        <w:tc>
          <w:tcPr>
            <w:tcW w:w="62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Външни прозорци, остъклени врати и витрини с крила на вертикална и хоризонтална ос на въртене, с рамка от алуминий с прекъснат топлинен мост</w:t>
            </w:r>
          </w:p>
        </w:tc>
        <w:tc>
          <w:tcPr>
            <w:tcW w:w="28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2,0</w:t>
            </w:r>
          </w:p>
        </w:tc>
      </w:tr>
      <w:tr w:rsidR="00EC21D8" w:rsidRPr="00EF4852" w:rsidTr="00EC21D8">
        <w:trPr>
          <w:trHeight w:val="564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396"/>
          <w:jc w:val="center"/>
        </w:trPr>
        <w:tc>
          <w:tcPr>
            <w:tcW w:w="48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62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8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570"/>
          <w:jc w:val="center"/>
        </w:trPr>
        <w:tc>
          <w:tcPr>
            <w:tcW w:w="4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4.</w:t>
            </w:r>
          </w:p>
        </w:tc>
        <w:tc>
          <w:tcPr>
            <w:tcW w:w="62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Окачени фасади/окачени фасади с повишени изисквания</w:t>
            </w:r>
          </w:p>
        </w:tc>
        <w:tc>
          <w:tcPr>
            <w:tcW w:w="28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C21D8" w:rsidRPr="00EF4852" w:rsidRDefault="00EC21D8" w:rsidP="00EC21D8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1,75/1,9</w:t>
            </w:r>
          </w:p>
        </w:tc>
      </w:tr>
    </w:tbl>
    <w:p w:rsidR="00EC21D8" w:rsidRPr="00EF4852" w:rsidRDefault="00EC21D8" w:rsidP="00EC21D8">
      <w:pPr>
        <w:spacing w:after="120" w:line="240" w:lineRule="auto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EC21D8" w:rsidRPr="00EF4852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  <w:bCs/>
        </w:rPr>
      </w:pPr>
      <w:r w:rsidRPr="00EF4852">
        <w:rPr>
          <w:b/>
          <w:bCs/>
        </w:rPr>
        <w:t xml:space="preserve"> Технически изисквания към топлофизични характеристики на доставени на строежа продукти за топлоизолация от: полистироли - експандиран (EPS) и екструдиран (XPS) и вати, както и топлоизолационни комплекти (системи) с такива продукти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Препоръчва се техническите спецификации за строителство да се съставят за топлоизолационни комплекти стандартна или висока технология, която включва най-малко следните елементи:</w:t>
      </w:r>
    </w:p>
    <w:p w:rsidR="00EC21D8" w:rsidRPr="00EF4852" w:rsidRDefault="00EC21D8" w:rsidP="00EC21D8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Негорим, стабилизиран фасаден експандиран полистирол, с коефициент на топлопроводност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λ ≤ 0,035 W/mK,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със съответна плътност при определени условия на изпитване. </w:t>
      </w:r>
    </w:p>
    <w:p w:rsidR="00EC21D8" w:rsidRPr="00EF4852" w:rsidRDefault="00EC21D8" w:rsidP="00EC21D8">
      <w:pPr>
        <w:pStyle w:val="ListParagraph"/>
        <w:spacing w:after="120"/>
        <w:ind w:left="2160"/>
        <w:jc w:val="both"/>
      </w:pPr>
      <w:r w:rsidRPr="00EF4852">
        <w:t>или</w:t>
      </w:r>
    </w:p>
    <w:p w:rsidR="00EC21D8" w:rsidRPr="00EF4852" w:rsidRDefault="00EC21D8" w:rsidP="00EC21D8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Негорим, стабилизиран фасаден екструдиран полистирол, с коефициент на топлопроводност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λ ≤ 0,033 W/m.K,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със съответна плътност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при определени условия на изпитване.</w:t>
      </w:r>
    </w:p>
    <w:p w:rsidR="00EC21D8" w:rsidRPr="00EF4852" w:rsidRDefault="00EC21D8" w:rsidP="00EC21D8">
      <w:pPr>
        <w:pStyle w:val="ListParagraph"/>
        <w:spacing w:after="120"/>
        <w:ind w:left="2160"/>
        <w:jc w:val="both"/>
      </w:pPr>
      <w:r w:rsidRPr="00EF4852">
        <w:t>или</w:t>
      </w:r>
    </w:p>
    <w:p w:rsidR="00EC21D8" w:rsidRPr="00EF4852" w:rsidRDefault="00EC21D8" w:rsidP="00EC21D8">
      <w:pPr>
        <w:numPr>
          <w:ilvl w:val="0"/>
          <w:numId w:val="1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 xml:space="preserve">Фасадни плоскости от минерална вата - 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λ ≤ 0,040 W/m.K,</w:t>
      </w:r>
      <w:r w:rsidRPr="00EF4852">
        <w:rPr>
          <w:rFonts w:ascii="Times New Roman" w:hAnsi="Times New Roman"/>
          <w:sz w:val="24"/>
          <w:szCs w:val="24"/>
          <w:lang w:val="bg-BG"/>
        </w:rPr>
        <w:t xml:space="preserve"> със съответна плътност</w:t>
      </w:r>
      <w:r w:rsidRPr="00EF4852">
        <w:rPr>
          <w:lang w:val="bg-BG"/>
        </w:rPr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при определени условия на изпитване.</w:t>
      </w:r>
    </w:p>
    <w:p w:rsidR="00EC21D8" w:rsidRPr="00EF4852" w:rsidRDefault="00EC21D8" w:rsidP="00EC21D8">
      <w:pPr>
        <w:spacing w:after="120" w:line="240" w:lineRule="auto"/>
        <w:ind w:left="720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или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  <w:rPr>
          <w:lang w:eastAsia="en-US"/>
        </w:rPr>
      </w:pPr>
      <w:r w:rsidRPr="00EF4852">
        <w:t xml:space="preserve">Топлоизолационни продукти от пенополиуретан с плътност, съответстваща на </w:t>
      </w:r>
      <w:r w:rsidRPr="00EF4852">
        <w:rPr>
          <w:lang w:eastAsia="en-US"/>
        </w:rPr>
        <w:t xml:space="preserve">- коефициент на топлопроводност  </w:t>
      </w:r>
      <w:r w:rsidRPr="00EF4852">
        <w:rPr>
          <w:b/>
          <w:lang w:eastAsia="en-US"/>
        </w:rPr>
        <w:t>λ ≤ 0,029 W/m.K</w:t>
      </w:r>
      <w:r w:rsidRPr="00EF4852">
        <w:t xml:space="preserve"> </w:t>
      </w:r>
      <w:r w:rsidRPr="00EF4852">
        <w:rPr>
          <w:lang w:eastAsia="en-US"/>
        </w:rPr>
        <w:t>при определени условия на изпитване.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  <w:rPr>
          <w:lang w:eastAsia="en-US"/>
        </w:rPr>
      </w:pPr>
      <w:r w:rsidRPr="00EF4852">
        <w:rPr>
          <w:lang w:eastAsia="en-US"/>
        </w:rPr>
        <w:t>Минерални топлоизолационни плочи</w:t>
      </w:r>
      <w:r w:rsidRPr="00EF4852">
        <w:t xml:space="preserve"> - </w:t>
      </w:r>
      <w:r w:rsidRPr="00EF4852">
        <w:rPr>
          <w:b/>
          <w:lang w:eastAsia="en-US"/>
        </w:rPr>
        <w:t>λ ≤ 0,045 W/m.K,</w:t>
      </w:r>
      <w:r w:rsidRPr="00EF4852">
        <w:rPr>
          <w:lang w:eastAsia="en-US"/>
        </w:rPr>
        <w:t xml:space="preserve"> при определени условия на изпитване.</w:t>
      </w:r>
    </w:p>
    <w:p w:rsidR="00EC21D8" w:rsidRPr="00EF4852" w:rsidRDefault="00EC21D8" w:rsidP="00EC21D8">
      <w:pPr>
        <w:pStyle w:val="ListParagraph"/>
        <w:spacing w:after="120"/>
        <w:rPr>
          <w:lang w:eastAsia="en-US"/>
        </w:rPr>
      </w:pPr>
    </w:p>
    <w:p w:rsidR="00EC21D8" w:rsidRPr="00EF4852" w:rsidRDefault="00EC21D8" w:rsidP="00EC21D8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За EPS и XPS се препоръчва да се декларират също: деформация при определени условия на натоварване на натиск и температурно въздействие; якост на опън перпендикулярно на повърхностите; напрежение на натиск при 10 % деформация; продължително водопоглъщане чрез дифузия; мразоустойчивост; дифузия и пренасяне на водни пари; динамичнa коравина; реакция на огън; клас на горимост – по норми за съответното предназначение в сградата.</w:t>
      </w:r>
    </w:p>
    <w:p w:rsidR="00EC21D8" w:rsidRPr="00EF4852" w:rsidRDefault="00EC21D8" w:rsidP="00EC21D8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За вати се препоръчва да се декларират също: дифузия на водни пари; стабилност на размерите при определена температура и при определена влажност на въздуха; динамична якост; свиваемост; якост на опън перпендикулярно на лицевата част; клас на горимост – А1.</w:t>
      </w:r>
    </w:p>
    <w:p w:rsidR="00EC21D8" w:rsidRPr="00EF4852" w:rsidRDefault="00EC21D8" w:rsidP="00EC21D8">
      <w:pPr>
        <w:spacing w:after="12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Топлоизолационните  продукти от пенополиуретан следва да се съобразят с конкретното им предназначение и дебелината на покритието следва да бъде оразмерена в зависимост от коефициента на топлопроводност за съответната плътност.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еластична лепилна прахообразна смес за лепене на топлоизолационни плочи, съвместима с конкретната топлоизолационна система и основния топлоизолационен продукт;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еластична лепилно-шпакловъчна прахообразна смес за лепене и шпакловане на топлоизолационни плочи от EPS, за шпакловане на основи от цимент, сглобяеми елементи от бетон, мазилки на циментова основа, термоизолиращи мазилки, за декоративни детайли;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армираща стъклотекстилна мрежа с алкалоустойчиво покритие за вграждане в топлоизолационната система, съвместима с предлаганата топлоизолационна система;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импрегнатор-заздравител на дисперсна основа, предназначен за основи, които ще бъдат третирани с продукти от групата на акрилни, силикатни или силиконови продукти според конкретното предназначение;</w:t>
      </w:r>
    </w:p>
    <w:p w:rsidR="00EC21D8" w:rsidRPr="00EF4852" w:rsidRDefault="00EC21D8" w:rsidP="00EC21D8">
      <w:pPr>
        <w:pStyle w:val="ListParagraph"/>
        <w:numPr>
          <w:ilvl w:val="0"/>
          <w:numId w:val="12"/>
        </w:numPr>
        <w:spacing w:after="120"/>
        <w:jc w:val="both"/>
      </w:pPr>
      <w:r w:rsidRPr="00EF4852">
        <w:t>отлично защитно и декоративно покритие за външни и вътрешни повърхности, комбинация от акрилен и силиконов полимер, подбрани инертни материали с различен гранулометричен състав, добавки, подпомагащи по-бързото съхнене на продукта, както и оцветители с висока устойчивост към UV лъчи и лоши климатични условия, съдържащи специални антибактериални добавки срещу мухъл и лишеи. Паропропусклива и водоотблъскваща мазилка съгласно архитектурен проект на сградата.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lastRenderedPageBreak/>
        <w:t xml:space="preserve">Дебелината на топлинната изолация от съответния вид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се оразмерява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в техническия проект на съответната сграда в част „Енергийна ефективност“ и се съобразява с техническите параметри, заложени за съответната енергоспестяваща мярка в енергийното обследване.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Посочените по-горе топлоизолационни продукти и техническите им характеристики са препоръчителни и не изчерпват приложението на други продукти, които отговарят на приложимите нормативни изисквания и стандарти и имат енергоспестяващ ефект.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Изчисленията, направени в част „Енергийна ефективност“ на инвестиционния проект са задължителни за спазване от строителя при изготвяне на офертата за изпълнение на топлинна изолация на сградата. Изпълнението на архитектурно-строителните детайли, разработени в част архитектурна са също задължителни за строителя, като корекции на архитектурно – строителните детайли се извършват съгласно предвидения законов ред.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 техническата спецификация за строителство възложителят следва да посочи ясно коефициентите но топлопреминаване през външните ограждащи елементи на сградата, които трябва да се постигнат с полагане на топлоизолационна система за съответното предназначение в сградата, като тези коефициенти също се взимат от инвестиционния проект, където на по-ранен етап са съобразени и съгласувани с резултатите от обследването за енергийна ефективност. </w:t>
      </w:r>
    </w:p>
    <w:p w:rsidR="00EC21D8" w:rsidRPr="00F069ED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 xml:space="preserve">Технически изисквания към хидроизолации и хидроизолационни системи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Проектните решения на хидроизолациите и на хидроизолационните системи на сгради се представя в част архитектурна на инвестиционния проект.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Физико-механичните характеристики на предвидените за изпълнение хидроизолации и хидроизолационни системи и условията за полагането им трябва да отговарят на нормативните изисквания на Наредба № 2 от 2008 г. в зависимост от вида на продуктите и предвидените им функции и предназначение.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Видовете строителни продукти, които могат да се предвиждат при проектирането на хидроизолации и на хидроизолационни системи на плоски покриви на сгради и съоръжения и за които в наредбата са определени физико-механични характеристики, са съответно на база на: 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 xml:space="preserve">огъваеми битумни мушами; 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 xml:space="preserve">пластмасови и каучукови мушами; 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битумнополимерни състави;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течни полимерни състави;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циментнополимерни състави.</w:t>
      </w:r>
    </w:p>
    <w:p w:rsidR="00EC21D8" w:rsidRPr="00EF4852" w:rsidRDefault="00EC21D8" w:rsidP="00EC21D8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Видът на хидроизолацията и на хидроизолационната система на плоски покриви на сгради и съоръжения се избира в зависимост от: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техническите характеристики и технологията за изпълнение на строежа;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вида на строежа: ново строителство, основен ремонт, реконструкция, основно обновяване или преустройство;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вида на основата, върху която ще се изпълнява хидроизолацията (бетон, циментно-пясъчен разтвор, торкретбетон, дървесина, метал, зидария и др.);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компонентите (слоевете) на хидроизолационната система;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lastRenderedPageBreak/>
        <w:t>вида и начина на водоотвеждането;</w:t>
      </w:r>
    </w:p>
    <w:p w:rsidR="00EC21D8" w:rsidRPr="00EF4852" w:rsidRDefault="00EC21D8" w:rsidP="00EC21D8">
      <w:pPr>
        <w:pStyle w:val="ListParagraph"/>
        <w:numPr>
          <w:ilvl w:val="0"/>
          <w:numId w:val="14"/>
        </w:numPr>
        <w:spacing w:after="120"/>
        <w:jc w:val="both"/>
      </w:pPr>
      <w:r w:rsidRPr="00EF4852">
        <w:t>използваемостта на покрива.</w:t>
      </w:r>
    </w:p>
    <w:p w:rsidR="00EC21D8" w:rsidRPr="00F069ED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Технически изисквания към доставени на строежа комплекти от сглобени прозорци и врати, които ще се монтират върху фасадите на сградите.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В съответствие с </w:t>
      </w: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>Наредба № 7 за енергийна ефективност, топлосъхранение и икономия на енергия в сгради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, на етапа на изпълнение на строителството доставените на строежа комплекти трябва да бъдат придружени с декларация за съответствие от изпитване на типа за доказване на съответствието на продукта с БДС EN 14351-1:2006 и БДС  EN ISO 10077-1:2006, която съдържа най-малко следната информация за: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сглобения образец (Uw) в W/m</w:t>
      </w:r>
      <w:r w:rsidRPr="00EF4852">
        <w:rPr>
          <w:vertAlign w:val="superscript"/>
        </w:rPr>
        <w:t>2</w:t>
      </w:r>
      <w:r w:rsidRPr="00EF4852">
        <w:t>K;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остъкляването (Ug) в W/m</w:t>
      </w:r>
      <w:r w:rsidRPr="00EF4852">
        <w:rPr>
          <w:vertAlign w:val="superscript"/>
        </w:rPr>
        <w:t>2</w:t>
      </w:r>
      <w:r w:rsidRPr="00EF4852">
        <w:t>K;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топлопреминаване на рамката (Uf) в W/m</w:t>
      </w:r>
      <w:r w:rsidRPr="00EF4852">
        <w:rPr>
          <w:vertAlign w:val="superscript"/>
        </w:rPr>
        <w:t>2</w:t>
      </w:r>
      <w:r w:rsidRPr="00EF4852">
        <w:t>K;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коефициента на енергопреминаване на остъкляването (g);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радиационните характеристики - степен на светлопропускливост и спектрална характеристика;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въздухопропускливостта на образеца;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водонепропускливостта;</w:t>
      </w:r>
    </w:p>
    <w:p w:rsidR="00EC21D8" w:rsidRPr="00EF4852" w:rsidRDefault="00EC21D8" w:rsidP="00EC21D8">
      <w:pPr>
        <w:pStyle w:val="ListParagraph"/>
        <w:numPr>
          <w:ilvl w:val="0"/>
          <w:numId w:val="13"/>
        </w:numPr>
        <w:spacing w:after="120"/>
        <w:jc w:val="both"/>
      </w:pPr>
      <w:r w:rsidRPr="00EF4852">
        <w:t>защитата от шум.</w:t>
      </w:r>
    </w:p>
    <w:p w:rsidR="00EC21D8" w:rsidRPr="00F069ED" w:rsidRDefault="00EC21D8" w:rsidP="00F069ED">
      <w:pPr>
        <w:pStyle w:val="ListParagraph"/>
        <w:numPr>
          <w:ilvl w:val="0"/>
          <w:numId w:val="9"/>
        </w:numPr>
        <w:spacing w:after="120"/>
        <w:jc w:val="both"/>
        <w:rPr>
          <w:b/>
        </w:rPr>
      </w:pPr>
      <w:r w:rsidRPr="00F069ED">
        <w:rPr>
          <w:b/>
        </w:rPr>
        <w:t>Технически изисквания към енергийните характеристики за слънчеви колектори за системи, оползотворяващи слънчева енергия за загряване на вода за битови нужди в сградата.</w:t>
      </w:r>
    </w:p>
    <w:p w:rsidR="00EC21D8" w:rsidRPr="00EF4852" w:rsidRDefault="00EC21D8" w:rsidP="00EC21D8">
      <w:pPr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С отчитане нивото на технологиите препоръчителни за техническите спецификации са следните изисквания:</w:t>
      </w:r>
    </w:p>
    <w:p w:rsidR="00EC21D8" w:rsidRPr="00EF4852" w:rsidRDefault="00F069ED" w:rsidP="00EC21D8">
      <w:pPr>
        <w:spacing w:after="120" w:line="240" w:lineRule="auto"/>
        <w:rPr>
          <w:rFonts w:ascii="Times New Roman" w:eastAsia="MS Mincho" w:hAnsi="Times New Roman"/>
          <w:b/>
          <w:sz w:val="24"/>
          <w:szCs w:val="24"/>
          <w:lang w:val="bg-BG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bg-BG" w:eastAsia="ar-SA"/>
        </w:rPr>
        <w:t>7.</w:t>
      </w:r>
      <w:r w:rsidR="00EC21D8" w:rsidRPr="00EF4852">
        <w:rPr>
          <w:rFonts w:ascii="Times New Roman" w:eastAsia="MS Mincho" w:hAnsi="Times New Roman"/>
          <w:b/>
          <w:sz w:val="24"/>
          <w:szCs w:val="24"/>
          <w:lang w:val="bg-BG" w:eastAsia="ar-SA"/>
        </w:rPr>
        <w:t>1. Плоски слънчеви колектори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абсорбция (α) &gt;/= 90%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емисия (ε ) &lt;/= 5%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Обобщен коефициент на топлинни загуби ( U</w:t>
      </w:r>
      <w:r w:rsidRPr="00EF4852">
        <w:rPr>
          <w:rFonts w:ascii="Times New Roman" w:eastAsia="MS Mincho" w:hAnsi="Times New Roman"/>
          <w:sz w:val="24"/>
          <w:szCs w:val="24"/>
          <w:vertAlign w:val="subscript"/>
          <w:lang w:val="bg-BG" w:eastAsia="ar-SA"/>
        </w:rPr>
        <w:t>L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 xml:space="preserve"> &lt;/= 5 Вт/м</w:t>
      </w:r>
      <w:r w:rsidRPr="00EF4852">
        <w:rPr>
          <w:rFonts w:ascii="Times New Roman" w:eastAsia="MS Mincho" w:hAnsi="Times New Roman"/>
          <w:sz w:val="24"/>
          <w:szCs w:val="24"/>
          <w:vertAlign w:val="superscript"/>
          <w:lang w:val="bg-BG" w:eastAsia="ar-SA"/>
        </w:rPr>
        <w:t>2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 )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jc w:val="both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Използваната прозрачна изолация да е от закалено стъкло с ниско съдържание на желязо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 xml:space="preserve">Работно налягане на колектора – 6 бара </w:t>
      </w:r>
    </w:p>
    <w:p w:rsidR="00EC21D8" w:rsidRPr="00EF4852" w:rsidRDefault="00F069ED" w:rsidP="00EC21D8">
      <w:pPr>
        <w:suppressAutoHyphens/>
        <w:autoSpaceDE w:val="0"/>
        <w:spacing w:after="120" w:line="240" w:lineRule="auto"/>
        <w:rPr>
          <w:rFonts w:ascii="Times New Roman" w:eastAsia="MS Mincho" w:hAnsi="Times New Roman"/>
          <w:b/>
          <w:sz w:val="24"/>
          <w:szCs w:val="24"/>
          <w:lang w:val="bg-BG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bg-BG" w:eastAsia="ar-SA"/>
        </w:rPr>
        <w:t>7</w:t>
      </w:r>
      <w:r w:rsidR="00EC21D8" w:rsidRPr="00EF4852">
        <w:rPr>
          <w:rFonts w:ascii="Times New Roman" w:eastAsia="MS Mincho" w:hAnsi="Times New Roman"/>
          <w:b/>
          <w:sz w:val="24"/>
          <w:szCs w:val="24"/>
          <w:lang w:val="bg-BG" w:eastAsia="ar-SA"/>
        </w:rPr>
        <w:t>.2. Вакуумно тръбни слънчеви колектори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абсорбция (α) &gt;/= 90%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Коефициент на емисия (ε ) &lt;/= 5%</w:t>
      </w:r>
    </w:p>
    <w:p w:rsidR="00EC21D8" w:rsidRPr="00EF4852" w:rsidRDefault="00EC21D8" w:rsidP="00EC21D8">
      <w:pPr>
        <w:numPr>
          <w:ilvl w:val="0"/>
          <w:numId w:val="11"/>
        </w:numPr>
        <w:suppressAutoHyphens/>
        <w:autoSpaceDE w:val="0"/>
        <w:spacing w:after="120" w:line="240" w:lineRule="auto"/>
        <w:rPr>
          <w:rFonts w:ascii="Times New Roman" w:eastAsia="MS Mincho" w:hAnsi="Times New Roman"/>
          <w:sz w:val="24"/>
          <w:szCs w:val="24"/>
          <w:lang w:val="bg-BG" w:eastAsia="ar-SA"/>
        </w:rPr>
      </w:pP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Обобщен коефициент на топлинни загуби ( U</w:t>
      </w:r>
      <w:r w:rsidRPr="00EF4852">
        <w:rPr>
          <w:rFonts w:ascii="Times New Roman" w:eastAsia="MS Mincho" w:hAnsi="Times New Roman"/>
          <w:sz w:val="24"/>
          <w:szCs w:val="24"/>
          <w:vertAlign w:val="subscript"/>
          <w:lang w:val="bg-BG" w:eastAsia="ar-SA"/>
        </w:rPr>
        <w:t xml:space="preserve">L 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&lt;/= 1,5  Вт/м</w:t>
      </w:r>
      <w:r w:rsidRPr="00EF4852">
        <w:rPr>
          <w:rFonts w:ascii="Times New Roman" w:eastAsia="MS Mincho" w:hAnsi="Times New Roman"/>
          <w:sz w:val="24"/>
          <w:szCs w:val="24"/>
          <w:vertAlign w:val="superscript"/>
          <w:lang w:val="bg-BG" w:eastAsia="ar-SA"/>
        </w:rPr>
        <w:t>2</w:t>
      </w:r>
      <w:r w:rsidRPr="00EF4852">
        <w:rPr>
          <w:rFonts w:ascii="Times New Roman" w:eastAsia="MS Mincho" w:hAnsi="Times New Roman"/>
          <w:sz w:val="24"/>
          <w:szCs w:val="24"/>
          <w:lang w:val="bg-BG" w:eastAsia="ar-SA"/>
        </w:rPr>
        <w:t>К )</w:t>
      </w:r>
    </w:p>
    <w:p w:rsidR="00EC21D8" w:rsidRPr="00EF4852" w:rsidRDefault="00F069ED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8. 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Технически изисквания към някои доставени на строежа продукти, потребяващи енергия (осветление и уреди).</w:t>
      </w:r>
    </w:p>
    <w:p w:rsidR="00EC21D8" w:rsidRPr="00EF4852" w:rsidRDefault="00F069ED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lastRenderedPageBreak/>
        <w:t>8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.1.</w:t>
      </w:r>
      <w:r w:rsidR="00EC21D8"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Светлинен поток за консумирана мощност на източника на светлина или светлинен добив на източника за вграждане в осветителите: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Компактни флуоресцентни осветители не по-малко от   70 lm/W;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Флуоресцентни осветители не по-малко от  70 lm/W;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Натриеви осветители не по-малко от  120 lm/W;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Метал-халогенидни осветители: не по-малко от  60 lm/W;</w:t>
      </w:r>
    </w:p>
    <w:p w:rsidR="00EC21D8" w:rsidRPr="00EF4852" w:rsidRDefault="00F069ED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8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>.2. Светлинен добив на източника за вграждане в осветителите – за светодиодни</w:t>
      </w:r>
      <w:r w:rsidR="00EC21D8" w:rsidRPr="00EF4852">
        <w:rPr>
          <w:rFonts w:ascii="Times New Roman" w:eastAsia="Times New Roman" w:hAnsi="Times New Roman"/>
          <w:b/>
          <w:i/>
          <w:sz w:val="24"/>
          <w:szCs w:val="24"/>
          <w:lang w:val="bg-BG"/>
        </w:rPr>
        <w:t xml:space="preserve"> -</w:t>
      </w:r>
      <w:r w:rsidR="00EC21D8"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 не по-малко от  60 lm/W;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Енергиен клас на осветителя – препоръчва се клас A, съгл. Регламент (ЕО) 874/2012.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Енергиен клас на баласта - съгласно Регламент (ЕО) 245/2009 и Регламент (ЕО) 347/2010.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Среден (номинален) период на работа, по време на който известен брой осветители отказват напълно: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Компактни флуоресцентни осветители: 50%  не по-малко от 20 000 часа;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Флуоресцентни осветители 50%  не по-малко от 15 000 часа;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Натриеви осветители 50%  не по-малко от 15 000 часа. </w:t>
      </w:r>
    </w:p>
    <w:p w:rsidR="00EC21D8" w:rsidRPr="00EF4852" w:rsidRDefault="00EC21D8" w:rsidP="00EC21D8">
      <w:pPr>
        <w:spacing w:after="120" w:line="240" w:lineRule="auto"/>
        <w:ind w:left="369" w:firstLine="709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Намаляване на светлинния поток - за светодиодни осветители: •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не повече от 30 % за не по-малко от 50 000 часа</w:t>
      </w:r>
    </w:p>
    <w:p w:rsidR="00EC21D8" w:rsidRPr="00EF4852" w:rsidRDefault="00EC21D8" w:rsidP="00EC21D8">
      <w:pPr>
        <w:spacing w:after="120" w:line="240" w:lineRule="auto"/>
        <w:ind w:left="369"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Всички светлотехнически параметри на осветителя  се удостоверяват с протокол от изпитвателна лаборатория.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i/>
          <w:sz w:val="24"/>
          <w:szCs w:val="24"/>
          <w:lang w:val="bg-BG"/>
        </w:rPr>
        <w:t xml:space="preserve">В случаите когато се ползва самостоятелно източник на светлина за директна замяна, неговите технически параметри се удостоверяват, като изрично се подчертава, че става въпрос за използван светлинен източник, а не за осветител. </w:t>
      </w:r>
    </w:p>
    <w:p w:rsidR="00EC21D8" w:rsidRPr="00EF4852" w:rsidRDefault="00F069ED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9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Технически изисквания към термопомпи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>Техническите изисквани се отнасят за минимален COP (коефициент на преобразуване на енергията). Според вида на термопомпата се препоръчват да се залагат следните изисквания: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</w:pPr>
      <w:r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>Вид на термопомпата:</w:t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</w:r>
      <w:r w:rsidRPr="00EF4852">
        <w:rPr>
          <w:rFonts w:ascii="Times New Roman" w:eastAsia="Times New Roman" w:hAnsi="Times New Roman"/>
          <w:b/>
          <w:sz w:val="24"/>
          <w:szCs w:val="24"/>
          <w:u w:val="single"/>
          <w:lang w:val="bg-BG"/>
        </w:rPr>
        <w:tab/>
        <w:t>СОР:</w:t>
      </w:r>
    </w:p>
    <w:p w:rsidR="00EC21D8" w:rsidRPr="00EF4852" w:rsidRDefault="00EC21D8" w:rsidP="00EC21D8">
      <w:pPr>
        <w:spacing w:after="12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 xml:space="preserve">Солов разтвор - вода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- 3.5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Вода – вода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- 4.0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Въздух – въздух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- 3.5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Въздух - вода </w:t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</w: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 xml:space="preserve">- 3.5 </w:t>
      </w:r>
    </w:p>
    <w:p w:rsidR="00EC21D8" w:rsidRPr="00EF4852" w:rsidRDefault="00EC21D8" w:rsidP="00EC21D8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/>
        </w:rPr>
      </w:pPr>
      <w:r w:rsidRPr="00EF4852">
        <w:rPr>
          <w:rFonts w:ascii="Times New Roman" w:eastAsia="Times New Roman" w:hAnsi="Times New Roman"/>
          <w:sz w:val="24"/>
          <w:szCs w:val="24"/>
          <w:lang w:val="bg-BG"/>
        </w:rPr>
        <w:tab/>
        <w:t>Директен обмен земя, свързана с вода - 4.0</w:t>
      </w:r>
    </w:p>
    <w:p w:rsidR="00EC21D8" w:rsidRPr="00EF4852" w:rsidRDefault="001937E8" w:rsidP="00EC21D8">
      <w:pPr>
        <w:spacing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/>
          <w:b/>
          <w:sz w:val="24"/>
          <w:szCs w:val="24"/>
          <w:lang w:val="bg-BG"/>
        </w:rPr>
        <w:t>10</w:t>
      </w:r>
      <w:r w:rsidR="00EC21D8" w:rsidRPr="00EF4852">
        <w:rPr>
          <w:rFonts w:ascii="Times New Roman" w:eastAsia="Times New Roman" w:hAnsi="Times New Roman"/>
          <w:b/>
          <w:sz w:val="24"/>
          <w:szCs w:val="24"/>
          <w:lang w:val="bg-BG"/>
        </w:rPr>
        <w:t xml:space="preserve">. Технически изисквания към водогрейни котли 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1701"/>
        <w:gridCol w:w="1623"/>
        <w:gridCol w:w="1418"/>
        <w:gridCol w:w="1495"/>
        <w:gridCol w:w="1560"/>
        <w:gridCol w:w="2101"/>
      </w:tblGrid>
      <w:tr w:rsidR="00EC21D8" w:rsidRPr="00EF4852" w:rsidTr="00EC21D8">
        <w:trPr>
          <w:trHeight w:val="700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Вид на котела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Мощност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(kW)</w:t>
            </w:r>
          </w:p>
        </w:tc>
        <w:tc>
          <w:tcPr>
            <w:tcW w:w="2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номинална мощност</w:t>
            </w:r>
          </w:p>
        </w:tc>
        <w:tc>
          <w:tcPr>
            <w:tcW w:w="3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КПД при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частичен товар</w:t>
            </w:r>
          </w:p>
        </w:tc>
      </w:tr>
      <w:tr w:rsidR="00EC21D8" w:rsidRPr="00EF4852" w:rsidTr="00EC21D8">
        <w:trPr>
          <w:trHeight w:val="1047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средна температура на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(в °С)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средна 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температура на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водата  (в °С)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изисквания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за КПД,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изразен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в % </w:t>
            </w:r>
          </w:p>
        </w:tc>
      </w:tr>
      <w:tr w:rsidR="00EC21D8" w:rsidRPr="00EF4852" w:rsidTr="00EC21D8">
        <w:trPr>
          <w:trHeight w:val="64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Стандартни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84+2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&gt;= 50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80+3 logPn</w:t>
            </w:r>
          </w:p>
        </w:tc>
      </w:tr>
      <w:tr w:rsidR="00EC21D8" w:rsidRPr="00EF4852" w:rsidTr="00EC21D8">
        <w:trPr>
          <w:trHeight w:val="85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Нискотемпера-турни котли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(1)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40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87,5+1,5 logPn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Газо- кондензиращи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4 - 400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70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91+1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30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&gt;= 97+1 logPn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Подобрени кондензацион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ни котли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4-400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94,0 +1,0 * logPn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Година на производство</w:t>
            </w:r>
          </w:p>
        </w:tc>
        <w:tc>
          <w:tcPr>
            <w:tcW w:w="65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Котли на биомаса с естествена тяга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78,0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72,0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Котли на биомаса с изкуствена тяга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преди 1978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75,0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1978-1986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82,0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77,5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1986-1994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84,0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50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80,0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Произведени след 1994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70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85,0 +2,0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81,5 +3,0 * log(Ф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val="bg-BG" w:eastAsia="bg-BG"/>
              </w:rPr>
              <w:t>Pn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/1000)</w:t>
            </w:r>
          </w:p>
        </w:tc>
      </w:tr>
      <w:tr w:rsidR="00EC21D8" w:rsidRPr="00EF4852" w:rsidTr="00EC21D8">
        <w:trPr>
          <w:trHeight w:val="848"/>
          <w:jc w:val="center"/>
        </w:trPr>
        <w:tc>
          <w:tcPr>
            <w:tcW w:w="9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0" w:right="140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(1)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Включително кондензиращи котли, използващи течни горива.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>(2)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 xml:space="preserve"> Температура на захранващата вода в котела.</w:t>
            </w:r>
          </w:p>
          <w:p w:rsidR="00EC21D8" w:rsidRPr="00EF4852" w:rsidRDefault="00EC21D8" w:rsidP="00EC21D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44" w:right="144"/>
              <w:jc w:val="both"/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</w:pPr>
            <w:r w:rsidRPr="00EF48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bg-BG" w:eastAsia="bg-BG"/>
              </w:rPr>
              <w:t xml:space="preserve">(3)  </w:t>
            </w:r>
            <w:r w:rsidRPr="00EF4852">
              <w:rPr>
                <w:rFonts w:ascii="Times New Roman" w:eastAsia="Times New Roman" w:hAnsi="Times New Roman"/>
                <w:sz w:val="20"/>
                <w:szCs w:val="20"/>
                <w:lang w:val="bg-BG" w:eastAsia="bg-BG"/>
              </w:rPr>
              <w:t>Топлинна мощност на котела при номинално налягане</w:t>
            </w:r>
          </w:p>
        </w:tc>
      </w:tr>
    </w:tbl>
    <w:p w:rsidR="00EC21D8" w:rsidRDefault="00EC21D8" w:rsidP="00427464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427464" w:rsidRPr="00D36B4D" w:rsidRDefault="00691AFC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Забележка</w:t>
      </w:r>
      <w:bookmarkStart w:id="37" w:name="_GoBack"/>
      <w:r w:rsidRPr="00D36B4D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:</w:t>
      </w:r>
      <w:r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се има предвид, че екипите</w:t>
      </w:r>
      <w:r w:rsidR="00427464"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обследване за техническите характеристики и изготвяне на технически паспорт на сградата; </w:t>
      </w:r>
      <w:r w:rsidR="00427464"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извършване на обследване за енергийна ефективност, и за проектиране </w:t>
      </w:r>
      <w:r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трябва </w:t>
      </w:r>
      <w:r w:rsidR="00427464"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работят съгласувано </w:t>
      </w:r>
      <w:r w:rsidR="00427464" w:rsidRPr="00D36B4D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за постигане на техническите изисквания към сградата. Този процес включва и изготвяне на коректни количествено-стойностни сметки (КСС) от проектантите, изготвяне на икономическата оценка в доклада от енергийното обследване на база КСС с оглед гарантиране ефективността на разходите за енергийно обновяване. Този подход понякога изисква итеративни действия между екипите и детайлно съгласуване на всеки етап от инженерните процедури.</w:t>
      </w:r>
    </w:p>
    <w:bookmarkEnd w:id="37"/>
    <w:p w:rsidR="00427464" w:rsidRPr="00427464" w:rsidRDefault="00427464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Когато предложените с енергийното обследване мерки са основание за разработване на инвестиционен проект, който подлежи на оценяване на съответствието с изискванията на чл. 169 и на съгласуване и одобряване от съответните държавни и общински органи (чл. 144 ЗУТ), този проект още при разработването му трябва да бъде съобразен и с останалите основни изисквания към строежа, а именно с действащите норми и правила за надеждност и сеизмична устойчивост на конструкцията, за пожарна безопасност, както и със санитарно-хигиенните изисквания и с изискванията за безопасна експлоатация. Изпълнението на тези основни изисквания също не трябва да противоречат на изискванията за енергийна ефективност т.е прилага се интегриран подход при изпълнение на нормите.</w:t>
      </w:r>
    </w:p>
    <w:p w:rsidR="006034ED" w:rsidRPr="001464EB" w:rsidRDefault="006034ED" w:rsidP="00427464">
      <w:pPr>
        <w:rPr>
          <w:b/>
          <w:lang w:val="bg-BG"/>
        </w:rPr>
      </w:pPr>
    </w:p>
    <w:sectPr w:rsidR="006034ED" w:rsidRPr="001464EB" w:rsidSect="00974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0A" w:rsidRDefault="0048750A" w:rsidP="004F7DA3">
      <w:pPr>
        <w:spacing w:after="0" w:line="240" w:lineRule="auto"/>
      </w:pPr>
      <w:r>
        <w:separator/>
      </w:r>
    </w:p>
  </w:endnote>
  <w:endnote w:type="continuationSeparator" w:id="0">
    <w:p w:rsidR="0048750A" w:rsidRDefault="0048750A" w:rsidP="004F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3A" w:rsidRDefault="001362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8509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623A" w:rsidRDefault="001362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6B4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13623A" w:rsidRPr="00374151" w:rsidRDefault="0013623A" w:rsidP="00374151">
    <w:pPr>
      <w:snapToGrid w:val="0"/>
      <w:spacing w:after="120" w:line="240" w:lineRule="auto"/>
      <w:jc w:val="both"/>
      <w:rPr>
        <w:rFonts w:ascii="Times New Roman" w:hAnsi="Times New Roman"/>
        <w:i/>
        <w:lang w:val="bg-BG"/>
      </w:rPr>
    </w:pPr>
    <w:r w:rsidRPr="00374151">
      <w:rPr>
        <w:rFonts w:ascii="Times New Roman" w:hAnsi="Times New Roman"/>
        <w:i/>
        <w:lang w:val="bg-BG"/>
      </w:rPr>
      <w:t>Национална програма за енергийна ефективност на многофамилни жилищни сгради</w:t>
    </w:r>
  </w:p>
  <w:p w:rsidR="0013623A" w:rsidRDefault="0013623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3A" w:rsidRDefault="001362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0A" w:rsidRDefault="0048750A" w:rsidP="004F7DA3">
      <w:pPr>
        <w:spacing w:after="0" w:line="240" w:lineRule="auto"/>
      </w:pPr>
      <w:r>
        <w:separator/>
      </w:r>
    </w:p>
  </w:footnote>
  <w:footnote w:type="continuationSeparator" w:id="0">
    <w:p w:rsidR="0048750A" w:rsidRDefault="0048750A" w:rsidP="004F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3A" w:rsidRDefault="001362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3A" w:rsidRDefault="0013623A" w:rsidP="00374151">
    <w:pPr>
      <w:pStyle w:val="Header"/>
      <w:jc w:val="center"/>
      <w:rPr>
        <w:rFonts w:ascii="Times New Roman" w:hAnsi="Times New Roman"/>
        <w:lang w:val="bg-BG"/>
      </w:rPr>
    </w:pPr>
  </w:p>
  <w:p w:rsidR="0013623A" w:rsidRPr="00374151" w:rsidRDefault="0013623A" w:rsidP="00374151">
    <w:pPr>
      <w:pStyle w:val="Header"/>
      <w:jc w:val="center"/>
      <w:rPr>
        <w:rFonts w:ascii="Times New Roman" w:hAnsi="Times New Roman"/>
        <w:lang w:val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23A" w:rsidRDefault="001362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5A21"/>
    <w:multiLevelType w:val="hybridMultilevel"/>
    <w:tmpl w:val="FF96C07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">
    <w:nsid w:val="1EE31EC7"/>
    <w:multiLevelType w:val="hybridMultilevel"/>
    <w:tmpl w:val="ED240A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371A4"/>
    <w:multiLevelType w:val="hybridMultilevel"/>
    <w:tmpl w:val="D702F8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D949F5"/>
    <w:multiLevelType w:val="hybridMultilevel"/>
    <w:tmpl w:val="F2E49600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3315E96"/>
    <w:multiLevelType w:val="hybridMultilevel"/>
    <w:tmpl w:val="3E1073AA"/>
    <w:lvl w:ilvl="0" w:tplc="D4D2F58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5646E1"/>
    <w:multiLevelType w:val="hybridMultilevel"/>
    <w:tmpl w:val="D1C876E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2126CA"/>
    <w:multiLevelType w:val="multilevel"/>
    <w:tmpl w:val="8556CDD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510C0301"/>
    <w:multiLevelType w:val="hybridMultilevel"/>
    <w:tmpl w:val="D1E4B3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1185F"/>
    <w:multiLevelType w:val="hybridMultilevel"/>
    <w:tmpl w:val="F4FAD1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A26D88"/>
    <w:multiLevelType w:val="hybridMultilevel"/>
    <w:tmpl w:val="845C5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D20960"/>
    <w:multiLevelType w:val="hybridMultilevel"/>
    <w:tmpl w:val="9DF419D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8D463EC"/>
    <w:multiLevelType w:val="multilevel"/>
    <w:tmpl w:val="2B826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DE37CA6"/>
    <w:multiLevelType w:val="hybridMultilevel"/>
    <w:tmpl w:val="A5E8569E"/>
    <w:lvl w:ilvl="0" w:tplc="5ECABF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F65B34"/>
    <w:multiLevelType w:val="hybridMultilevel"/>
    <w:tmpl w:val="5DDAE3F0"/>
    <w:lvl w:ilvl="0" w:tplc="0402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4"/>
  </w:num>
  <w:num w:numId="8">
    <w:abstractNumId w:val="12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EB"/>
    <w:rsid w:val="000805E9"/>
    <w:rsid w:val="0013623A"/>
    <w:rsid w:val="001464EB"/>
    <w:rsid w:val="001937E8"/>
    <w:rsid w:val="002355C7"/>
    <w:rsid w:val="00374151"/>
    <w:rsid w:val="00384976"/>
    <w:rsid w:val="00427464"/>
    <w:rsid w:val="0048750A"/>
    <w:rsid w:val="004C1B00"/>
    <w:rsid w:val="004E0E56"/>
    <w:rsid w:val="004F7DA3"/>
    <w:rsid w:val="005001B2"/>
    <w:rsid w:val="005D02A8"/>
    <w:rsid w:val="006034ED"/>
    <w:rsid w:val="00691AFC"/>
    <w:rsid w:val="006E13DD"/>
    <w:rsid w:val="006E4B71"/>
    <w:rsid w:val="00823342"/>
    <w:rsid w:val="00907AF7"/>
    <w:rsid w:val="00974E67"/>
    <w:rsid w:val="00B654B8"/>
    <w:rsid w:val="00BD6384"/>
    <w:rsid w:val="00D36B4D"/>
    <w:rsid w:val="00DE6869"/>
    <w:rsid w:val="00E42465"/>
    <w:rsid w:val="00E94F33"/>
    <w:rsid w:val="00EC21D8"/>
    <w:rsid w:val="00F069ED"/>
    <w:rsid w:val="00F4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E42465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EC21D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E42465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bg-BG"/>
    </w:rPr>
  </w:style>
  <w:style w:type="paragraph" w:styleId="ListParagraph">
    <w:name w:val="List Paragraph"/>
    <w:basedOn w:val="Normal"/>
    <w:uiPriority w:val="99"/>
    <w:qFormat/>
    <w:rsid w:val="00EC21D8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17</Pages>
  <Words>5499</Words>
  <Characters>31350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Miryana Hristova</cp:lastModifiedBy>
  <cp:revision>5</cp:revision>
  <dcterms:created xsi:type="dcterms:W3CDTF">2015-02-03T09:19:00Z</dcterms:created>
  <dcterms:modified xsi:type="dcterms:W3CDTF">2015-02-16T11:52:00Z</dcterms:modified>
</cp:coreProperties>
</file>